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DC" w:rsidRDefault="00D04BDC" w:rsidP="006575CB">
      <w:pPr>
        <w:ind w:left="720"/>
        <w:jc w:val="center"/>
        <w:rPr>
          <w:b/>
          <w:caps/>
          <w:lang w:val="uk-UA"/>
        </w:rPr>
      </w:pPr>
    </w:p>
    <w:p w:rsidR="00AC6A7F" w:rsidRDefault="00AC6A7F" w:rsidP="006575CB">
      <w:pPr>
        <w:ind w:left="720"/>
        <w:jc w:val="center"/>
        <w:rPr>
          <w:b/>
          <w:caps/>
          <w:lang w:val="uk-UA"/>
        </w:rPr>
      </w:pPr>
    </w:p>
    <w:p w:rsidR="006575CB" w:rsidRPr="00792A85" w:rsidRDefault="006575CB" w:rsidP="006575CB">
      <w:pPr>
        <w:ind w:left="720"/>
        <w:jc w:val="center"/>
        <w:rPr>
          <w:b/>
          <w:caps/>
          <w:lang w:val="uk-UA"/>
        </w:rPr>
      </w:pPr>
      <w:r w:rsidRPr="00792A85">
        <w:rPr>
          <w:b/>
          <w:caps/>
          <w:lang w:val="uk-UA"/>
        </w:rPr>
        <w:t>СП «КИївські ТЕЦ» КП «КиївТЕПЛОенерго»</w:t>
      </w:r>
    </w:p>
    <w:p w:rsidR="006575CB" w:rsidRPr="00792A85" w:rsidRDefault="006575CB" w:rsidP="006575CB">
      <w:pPr>
        <w:ind w:left="720"/>
        <w:jc w:val="center"/>
        <w:rPr>
          <w:b/>
          <w:lang w:val="uk-UA"/>
        </w:rPr>
      </w:pPr>
      <w:r w:rsidRPr="00792A85">
        <w:rPr>
          <w:b/>
          <w:lang w:val="uk-UA"/>
        </w:rPr>
        <w:t xml:space="preserve">повідомляє про наміри отримати дозвіл на викиди забруднюючих речовин в атмосферне повітря стаціонарними джерелами для Теплоелектроцентралі №5  </w:t>
      </w:r>
    </w:p>
    <w:p w:rsidR="006575CB" w:rsidRPr="00792A85" w:rsidRDefault="006575CB" w:rsidP="006575CB">
      <w:pPr>
        <w:ind w:left="720"/>
        <w:jc w:val="center"/>
        <w:rPr>
          <w:b/>
          <w:lang w:val="uk-UA"/>
        </w:rPr>
      </w:pPr>
      <w:r w:rsidRPr="00792A85">
        <w:rPr>
          <w:b/>
          <w:lang w:val="uk-UA"/>
        </w:rPr>
        <w:t xml:space="preserve">(далі – ТЕЦ-5) за адресою: 01013, м. Київ, </w:t>
      </w:r>
      <w:r w:rsidRPr="00792A85">
        <w:rPr>
          <w:rFonts w:eastAsia="Batang"/>
          <w:b/>
          <w:lang w:val="uk-UA"/>
        </w:rPr>
        <w:t>Голосіївський р-н, вул. Промислова, 4</w:t>
      </w:r>
    </w:p>
    <w:p w:rsidR="006575CB" w:rsidRDefault="006575CB" w:rsidP="006575CB">
      <w:pPr>
        <w:ind w:firstLine="709"/>
        <w:jc w:val="both"/>
        <w:rPr>
          <w:lang w:val="uk-UA"/>
        </w:rPr>
      </w:pPr>
    </w:p>
    <w:p w:rsidR="006575CB" w:rsidRPr="00792A85" w:rsidRDefault="006575CB" w:rsidP="006575CB">
      <w:pPr>
        <w:ind w:firstLine="709"/>
        <w:jc w:val="both"/>
        <w:rPr>
          <w:lang w:val="uk-UA"/>
        </w:rPr>
      </w:pPr>
      <w:r w:rsidRPr="00792A85">
        <w:rPr>
          <w:lang w:val="uk-UA"/>
        </w:rPr>
        <w:t xml:space="preserve">Теплоелектроцентраль №5 - одна з найбільших теплоелектроцентралей України, яка виробляє теплову та енергетичну енергію для споживачів м. Києва. </w:t>
      </w:r>
    </w:p>
    <w:p w:rsidR="006575CB" w:rsidRPr="00792A85" w:rsidRDefault="006575CB" w:rsidP="006575CB">
      <w:pPr>
        <w:ind w:firstLine="709"/>
        <w:jc w:val="both"/>
        <w:rPr>
          <w:lang w:val="uk-UA"/>
        </w:rPr>
      </w:pPr>
      <w:r w:rsidRPr="00792A85">
        <w:rPr>
          <w:lang w:val="uk-UA"/>
        </w:rPr>
        <w:t>Виробнича потужність ТЕЦ-5 складається енергетичних та водогрійних котлів для виробництва теплової та енергетичної енергії. Сумарна номінальна теплова потужність становить 3215</w:t>
      </w:r>
      <w:r w:rsidRPr="00792A85">
        <w:rPr>
          <w:color w:val="FF0000"/>
          <w:lang w:val="uk-UA"/>
        </w:rPr>
        <w:t xml:space="preserve"> </w:t>
      </w:r>
      <w:r w:rsidRPr="00792A85">
        <w:rPr>
          <w:lang w:val="uk-UA"/>
        </w:rPr>
        <w:t>МВт (об'єкт першої групи).</w:t>
      </w:r>
    </w:p>
    <w:p w:rsidR="006575CB" w:rsidRPr="00792A85" w:rsidRDefault="006575CB" w:rsidP="006575CB">
      <w:pPr>
        <w:ind w:firstLine="709"/>
        <w:jc w:val="both"/>
        <w:rPr>
          <w:lang w:val="uk-UA"/>
        </w:rPr>
      </w:pPr>
      <w:r w:rsidRPr="00792A85">
        <w:rPr>
          <w:lang w:val="uk-UA"/>
        </w:rPr>
        <w:t xml:space="preserve">Основним паливом є природний газ, резервним - мазут. Основні показники виробничі </w:t>
      </w:r>
      <w:r>
        <w:rPr>
          <w:lang w:val="uk-UA"/>
        </w:rPr>
        <w:t>показники</w:t>
      </w:r>
      <w:r w:rsidRPr="00792A85">
        <w:rPr>
          <w:lang w:val="uk-UA"/>
        </w:rPr>
        <w:t xml:space="preserve"> ТЕЦ за 2021 рік становлять: електроенергії – 1 654,7 млн </w:t>
      </w:r>
      <w:proofErr w:type="spellStart"/>
      <w:r w:rsidRPr="00792A85">
        <w:rPr>
          <w:lang w:val="uk-UA"/>
        </w:rPr>
        <w:t>кВтoгод</w:t>
      </w:r>
      <w:proofErr w:type="spellEnd"/>
      <w:r w:rsidRPr="00792A85">
        <w:rPr>
          <w:lang w:val="uk-UA"/>
        </w:rPr>
        <w:t xml:space="preserve">; теплової енергії – 3 024 тис. </w:t>
      </w:r>
      <w:proofErr w:type="spellStart"/>
      <w:r w:rsidRPr="00792A85">
        <w:rPr>
          <w:lang w:val="uk-UA"/>
        </w:rPr>
        <w:t>Гкал</w:t>
      </w:r>
      <w:proofErr w:type="spellEnd"/>
      <w:r w:rsidRPr="00792A85">
        <w:rPr>
          <w:lang w:val="uk-UA"/>
        </w:rPr>
        <w:t xml:space="preserve">. </w:t>
      </w:r>
    </w:p>
    <w:p w:rsidR="006575CB" w:rsidRPr="00792A85" w:rsidRDefault="006575CB" w:rsidP="006575CB">
      <w:pPr>
        <w:ind w:firstLine="709"/>
        <w:jc w:val="both"/>
        <w:rPr>
          <w:lang w:val="uk-UA"/>
        </w:rPr>
      </w:pPr>
      <w:r w:rsidRPr="00792A85">
        <w:rPr>
          <w:lang w:val="uk-UA"/>
        </w:rPr>
        <w:t xml:space="preserve">Загальна кількість стаціонарних джерел викидів забруднюючих речовин - 96 одиниць.  </w:t>
      </w:r>
      <w:r w:rsidRPr="00792A85">
        <w:rPr>
          <w:iCs/>
          <w:szCs w:val="24"/>
          <w:lang w:val="uk-UA"/>
        </w:rPr>
        <w:t xml:space="preserve">Кількість забруднюючих речовин, які надходять в атмосферне повітря становить - 44. Потенційні річні викиди становлять: </w:t>
      </w:r>
      <w:r w:rsidRPr="00792A85">
        <w:rPr>
          <w:color w:val="000000"/>
          <w:szCs w:val="24"/>
          <w:lang w:val="uk-UA" w:eastAsia="uk-UA"/>
        </w:rPr>
        <w:t>метали та їх сполуки - 469,497 т; речовини у  вигляді  суспендованих твердих частинок - 1239,928 т; діоксид та інші сполуки сірки 41666,529; сполуки азоту – 6015,723 т; оксид вуглецю - 1166,585 т; вуглецю діоксид  4458861,9 т; неметанові леткі органічні сполуки - 3,341 т; метан - 188,829 т; фтор та його сполуки (у перерахунку на фтор) - 0,00</w:t>
      </w:r>
      <w:r>
        <w:rPr>
          <w:color w:val="000000"/>
          <w:szCs w:val="24"/>
          <w:lang w:val="uk-UA" w:eastAsia="uk-UA"/>
        </w:rPr>
        <w:t>7</w:t>
      </w:r>
      <w:r w:rsidRPr="00792A85">
        <w:rPr>
          <w:color w:val="000000"/>
          <w:szCs w:val="24"/>
          <w:lang w:val="uk-UA" w:eastAsia="uk-UA"/>
        </w:rPr>
        <w:t xml:space="preserve"> т; хлор та сполуки хлору (у перерахунку на хлор) – 0,0003 т; фреони – 0,023 т.</w:t>
      </w:r>
      <w:r w:rsidRPr="00792A85">
        <w:rPr>
          <w:lang w:val="uk-UA"/>
        </w:rPr>
        <w:t xml:space="preserve"> Загальна величина миттєвого викиду забруднюючих речовин від основних джерел викидів становить 3045,385 г/с. </w:t>
      </w:r>
      <w:r w:rsidRPr="00792A85">
        <w:rPr>
          <w:lang w:val="uk-UA" w:eastAsia="ar-SA"/>
        </w:rPr>
        <w:t xml:space="preserve">Фактичні викиди не перевищують річні граничні обсяги викидів зазначених у </w:t>
      </w:r>
      <w:r w:rsidRPr="00792A85">
        <w:rPr>
          <w:bCs/>
          <w:lang w:val="uk-UA"/>
        </w:rPr>
        <w:t xml:space="preserve">Національного плану скорочення викидів від великих </w:t>
      </w:r>
      <w:proofErr w:type="spellStart"/>
      <w:r w:rsidRPr="00792A85">
        <w:rPr>
          <w:bCs/>
          <w:lang w:val="uk-UA"/>
        </w:rPr>
        <w:t>спалювальних</w:t>
      </w:r>
      <w:proofErr w:type="spellEnd"/>
      <w:r w:rsidRPr="00792A85">
        <w:rPr>
          <w:bCs/>
          <w:lang w:val="uk-UA"/>
        </w:rPr>
        <w:t xml:space="preserve"> установок </w:t>
      </w:r>
      <w:r w:rsidRPr="00792A85">
        <w:rPr>
          <w:rFonts w:eastAsia="Calibri"/>
          <w:lang w:val="uk-UA"/>
        </w:rPr>
        <w:t xml:space="preserve">схваленого </w:t>
      </w:r>
      <w:r w:rsidRPr="00792A85">
        <w:rPr>
          <w:bCs/>
          <w:lang w:val="uk-UA"/>
        </w:rPr>
        <w:t xml:space="preserve">розпорядженням Кабінету Міністрів України № 796 від 08.11.2017, із змінами згідно з   розпорядження Кабінету Міністрів України  від 24.11.2021 № 1512 щодо </w:t>
      </w:r>
      <w:r w:rsidRPr="00792A85">
        <w:rPr>
          <w:iCs/>
          <w:szCs w:val="26"/>
          <w:lang w:val="uk-UA"/>
        </w:rPr>
        <w:t>уточнення строків реалізації заходів.</w:t>
      </w:r>
    </w:p>
    <w:p w:rsidR="006575CB" w:rsidRPr="00792A85" w:rsidRDefault="006575CB" w:rsidP="006575CB">
      <w:pPr>
        <w:ind w:firstLine="709"/>
        <w:jc w:val="both"/>
        <w:rPr>
          <w:lang w:val="uk-UA"/>
        </w:rPr>
      </w:pPr>
      <w:r w:rsidRPr="00792A85">
        <w:rPr>
          <w:lang w:val="uk-UA"/>
        </w:rPr>
        <w:t xml:space="preserve">Масові концентрації забруднюючих речовин не перевищують нормативи граничнодопустимих викидів забруднюючих речовин від стаціонарних джерел, поточних технологічних нормативів від котлоагрегатів та відповідають гігієнічним нормативам на межі санітарно-захисної зони і в </w:t>
      </w:r>
      <w:proofErr w:type="spellStart"/>
      <w:r w:rsidRPr="00792A85">
        <w:rPr>
          <w:lang w:val="uk-UA"/>
        </w:rPr>
        <w:t>сельбіщній</w:t>
      </w:r>
      <w:proofErr w:type="spellEnd"/>
      <w:r w:rsidRPr="00792A85">
        <w:rPr>
          <w:lang w:val="uk-UA"/>
        </w:rPr>
        <w:t xml:space="preserve"> зоні. Для досягнення перспективних технологічних нормативів при спалюванні природного газу та мазуту планується виконати наступні заходи: </w:t>
      </w:r>
      <w:r w:rsidRPr="00792A85">
        <w:rPr>
          <w:szCs w:val="24"/>
          <w:lang w:val="uk-UA"/>
        </w:rPr>
        <w:t xml:space="preserve">заміна пальників на малотоксичні, використання високоякісного </w:t>
      </w:r>
      <w:proofErr w:type="spellStart"/>
      <w:r w:rsidRPr="00792A85">
        <w:rPr>
          <w:szCs w:val="24"/>
          <w:lang w:val="uk-UA"/>
        </w:rPr>
        <w:t>малосірчистого</w:t>
      </w:r>
      <w:proofErr w:type="spellEnd"/>
      <w:r w:rsidRPr="00792A85">
        <w:rPr>
          <w:szCs w:val="24"/>
          <w:lang w:val="uk-UA"/>
        </w:rPr>
        <w:t xml:space="preserve"> мазуту при спалювані резервного палива. </w:t>
      </w:r>
    </w:p>
    <w:p w:rsidR="006575CB" w:rsidRPr="00792A85" w:rsidRDefault="006575CB" w:rsidP="006575CB">
      <w:pPr>
        <w:ind w:firstLine="709"/>
        <w:jc w:val="both"/>
        <w:rPr>
          <w:lang w:val="uk-UA"/>
        </w:rPr>
      </w:pPr>
      <w:r w:rsidRPr="00792A85">
        <w:rPr>
          <w:lang w:val="uk-UA"/>
        </w:rPr>
        <w:t xml:space="preserve">Крім того, для забезпечення надійної роботи котлоагрегатів, котельного обладнання, теплових та електричних мереж здійснюється комплекс робіт, заходів, які направлені на підвищення енергоефективності (проведення капітальних та поточних ремонтів, </w:t>
      </w:r>
      <w:proofErr w:type="spellStart"/>
      <w:r w:rsidRPr="00792A85">
        <w:rPr>
          <w:lang w:val="uk-UA"/>
        </w:rPr>
        <w:t>режимно</w:t>
      </w:r>
      <w:proofErr w:type="spellEnd"/>
      <w:r w:rsidRPr="00792A85">
        <w:rPr>
          <w:lang w:val="uk-UA"/>
        </w:rPr>
        <w:t>-налагоджувальних і еколого-теплотехнічних випробувань котлоагрегатів, здійснення контролю за додержанням затверджених нормативів граничнодопустимих викидів і т.п.).</w:t>
      </w:r>
    </w:p>
    <w:p w:rsidR="006575CB" w:rsidRPr="00792A85" w:rsidRDefault="006575CB" w:rsidP="006575CB">
      <w:pPr>
        <w:ind w:firstLine="709"/>
        <w:jc w:val="both"/>
        <w:rPr>
          <w:lang w:val="uk-UA"/>
        </w:rPr>
      </w:pPr>
      <w:r w:rsidRPr="00792A85">
        <w:rPr>
          <w:lang w:val="uk-UA"/>
        </w:rPr>
        <w:t xml:space="preserve">Зауваження та пропозиції надсилати у місячний термін до </w:t>
      </w:r>
      <w:r w:rsidRPr="00792A85">
        <w:rPr>
          <w:color w:val="333333"/>
          <w:shd w:val="clear" w:color="auto" w:fill="FFFFFF"/>
          <w:lang w:val="uk-UA"/>
        </w:rPr>
        <w:t>Київської міської державної адміністрації (У</w:t>
      </w:r>
      <w:r w:rsidRPr="00792A85">
        <w:rPr>
          <w:color w:val="000000"/>
          <w:lang w:val="uk-UA"/>
        </w:rPr>
        <w:t xml:space="preserve">правління екології та природних ресурсів виконавчого органу Київської міської ради (КМДА)) за адресою: 04080, м. Київ, вул. Турівська, 28; </w:t>
      </w:r>
      <w:proofErr w:type="spellStart"/>
      <w:r w:rsidRPr="00792A85">
        <w:rPr>
          <w:color w:val="000000"/>
          <w:lang w:val="uk-UA"/>
        </w:rPr>
        <w:t>тел</w:t>
      </w:r>
      <w:proofErr w:type="spellEnd"/>
      <w:r w:rsidRPr="00792A85">
        <w:rPr>
          <w:color w:val="000000"/>
          <w:lang w:val="uk-UA"/>
        </w:rPr>
        <w:t xml:space="preserve">.: (044) 366-64-10, (044) 366-64-11; </w:t>
      </w:r>
      <w:proofErr w:type="spellStart"/>
      <w:r w:rsidRPr="00792A85">
        <w:rPr>
          <w:color w:val="000000"/>
          <w:lang w:val="uk-UA"/>
        </w:rPr>
        <w:t>ел</w:t>
      </w:r>
      <w:proofErr w:type="spellEnd"/>
      <w:r w:rsidRPr="00792A85">
        <w:rPr>
          <w:color w:val="000000"/>
          <w:lang w:val="uk-UA"/>
        </w:rPr>
        <w:t xml:space="preserve">. пошта: </w:t>
      </w:r>
      <w:hyperlink r:id="rId5" w:history="1">
        <w:r w:rsidRPr="00792A85">
          <w:rPr>
            <w:rStyle w:val="a3"/>
            <w:lang w:val="uk-UA"/>
          </w:rPr>
          <w:t>ecology@kyivcity.gov.ua</w:t>
        </w:r>
      </w:hyperlink>
      <w:r w:rsidRPr="00792A85">
        <w:rPr>
          <w:color w:val="000000"/>
          <w:lang w:val="uk-UA"/>
        </w:rPr>
        <w:t>.</w:t>
      </w:r>
    </w:p>
    <w:p w:rsidR="006575CB" w:rsidRPr="00792A85" w:rsidRDefault="006575CB" w:rsidP="006575CB">
      <w:pPr>
        <w:ind w:firstLine="709"/>
        <w:jc w:val="both"/>
        <w:rPr>
          <w:lang w:val="uk-UA"/>
        </w:rPr>
      </w:pPr>
      <w:r w:rsidRPr="00792A85">
        <w:rPr>
          <w:color w:val="000000"/>
          <w:lang w:val="uk-UA"/>
        </w:rPr>
        <w:t xml:space="preserve">Додаткову інформацію щодо обсягів викидів забруднюючих речовин в атмосферу можна отримати у </w:t>
      </w:r>
      <w:r w:rsidRPr="00792A85">
        <w:rPr>
          <w:szCs w:val="24"/>
          <w:lang w:val="uk-UA"/>
        </w:rPr>
        <w:t>служби екології СП «КИЇВСЬКІ ТЕЦ» КП «КИЇВТЕПЛОЕНЕРГО», тел.: (044) 207-87-46</w:t>
      </w:r>
      <w:r>
        <w:rPr>
          <w:szCs w:val="24"/>
          <w:lang w:val="uk-UA"/>
        </w:rPr>
        <w:t>.</w:t>
      </w:r>
    </w:p>
    <w:p w:rsidR="00D04BDC" w:rsidRDefault="00E44200" w:rsidP="00E44200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</w:t>
      </w:r>
    </w:p>
    <w:p w:rsidR="00D04BDC" w:rsidRDefault="00D04BDC" w:rsidP="00D04BDC">
      <w:pPr>
        <w:jc w:val="right"/>
        <w:rPr>
          <w:lang w:val="uk-UA"/>
        </w:rPr>
      </w:pPr>
    </w:p>
    <w:p w:rsidR="00D04BDC" w:rsidRDefault="00D04BDC" w:rsidP="0092422D">
      <w:pPr>
        <w:ind w:left="720"/>
        <w:jc w:val="right"/>
        <w:rPr>
          <w:lang w:val="uk-UA"/>
        </w:rPr>
      </w:pPr>
    </w:p>
    <w:p w:rsidR="00D04BDC" w:rsidRDefault="00D04BDC" w:rsidP="0092422D">
      <w:pPr>
        <w:ind w:left="720"/>
        <w:jc w:val="right"/>
        <w:rPr>
          <w:lang w:val="uk-UA"/>
        </w:rPr>
      </w:pPr>
    </w:p>
    <w:p w:rsidR="00D04BDC" w:rsidRPr="007E285F" w:rsidRDefault="00D04BDC" w:rsidP="00D04BDC">
      <w:pPr>
        <w:jc w:val="right"/>
        <w:rPr>
          <w:lang w:val="uk-UA"/>
        </w:rPr>
      </w:pPr>
    </w:p>
    <w:sectPr w:rsidR="00D04BDC" w:rsidRPr="007E285F" w:rsidSect="00495521">
      <w:pgSz w:w="11907" w:h="16840" w:code="9"/>
      <w:pgMar w:top="567" w:right="567" w:bottom="567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2A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B8365D"/>
    <w:multiLevelType w:val="hybridMultilevel"/>
    <w:tmpl w:val="23665248"/>
    <w:lvl w:ilvl="0" w:tplc="D93E9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E0E15"/>
    <w:multiLevelType w:val="hybridMultilevel"/>
    <w:tmpl w:val="E5242DC2"/>
    <w:lvl w:ilvl="0" w:tplc="AA1C96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D23DF"/>
    <w:multiLevelType w:val="hybridMultilevel"/>
    <w:tmpl w:val="1BF600C8"/>
    <w:lvl w:ilvl="0" w:tplc="E28C8F18">
      <w:numFmt w:val="bullet"/>
      <w:lvlText w:val="—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6D356F3"/>
    <w:multiLevelType w:val="singleLevel"/>
    <w:tmpl w:val="CEA88260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5" w15:restartNumberingAfterBreak="0">
    <w:nsid w:val="56A95193"/>
    <w:multiLevelType w:val="singleLevel"/>
    <w:tmpl w:val="63B20F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6B0D3241"/>
    <w:multiLevelType w:val="hybridMultilevel"/>
    <w:tmpl w:val="79E23E76"/>
    <w:lvl w:ilvl="0" w:tplc="3E580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179E0"/>
    <w:multiLevelType w:val="hybridMultilevel"/>
    <w:tmpl w:val="B31CB56A"/>
    <w:lvl w:ilvl="0" w:tplc="51803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9" w15:restartNumberingAfterBreak="0">
    <w:nsid w:val="7E6A7C65"/>
    <w:multiLevelType w:val="hybridMultilevel"/>
    <w:tmpl w:val="698A3026"/>
    <w:lvl w:ilvl="0" w:tplc="252EE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07"/>
    <w:rsid w:val="00031373"/>
    <w:rsid w:val="00033282"/>
    <w:rsid w:val="000548D7"/>
    <w:rsid w:val="0007246A"/>
    <w:rsid w:val="0007293F"/>
    <w:rsid w:val="00080654"/>
    <w:rsid w:val="00082185"/>
    <w:rsid w:val="00091EE8"/>
    <w:rsid w:val="000A235B"/>
    <w:rsid w:val="000B2C4C"/>
    <w:rsid w:val="000C11D3"/>
    <w:rsid w:val="000F4345"/>
    <w:rsid w:val="00100E4E"/>
    <w:rsid w:val="001042F0"/>
    <w:rsid w:val="00111FF5"/>
    <w:rsid w:val="0012088E"/>
    <w:rsid w:val="00137744"/>
    <w:rsid w:val="001A7D6D"/>
    <w:rsid w:val="001C2D74"/>
    <w:rsid w:val="001C71AF"/>
    <w:rsid w:val="002009A8"/>
    <w:rsid w:val="00211A0B"/>
    <w:rsid w:val="00220F61"/>
    <w:rsid w:val="002356BE"/>
    <w:rsid w:val="00244F4C"/>
    <w:rsid w:val="0028774B"/>
    <w:rsid w:val="00295D35"/>
    <w:rsid w:val="002C2B65"/>
    <w:rsid w:val="002C56F2"/>
    <w:rsid w:val="002D4461"/>
    <w:rsid w:val="00314656"/>
    <w:rsid w:val="003226A7"/>
    <w:rsid w:val="00343CA4"/>
    <w:rsid w:val="0037763B"/>
    <w:rsid w:val="00385EAB"/>
    <w:rsid w:val="003A10CB"/>
    <w:rsid w:val="003C7316"/>
    <w:rsid w:val="003C7BE2"/>
    <w:rsid w:val="003D2909"/>
    <w:rsid w:val="003D70DD"/>
    <w:rsid w:val="003F17E1"/>
    <w:rsid w:val="003F5E1F"/>
    <w:rsid w:val="004051B1"/>
    <w:rsid w:val="0041474A"/>
    <w:rsid w:val="0042283A"/>
    <w:rsid w:val="004251FE"/>
    <w:rsid w:val="00441B35"/>
    <w:rsid w:val="00466CE4"/>
    <w:rsid w:val="004835FC"/>
    <w:rsid w:val="00495521"/>
    <w:rsid w:val="004959DB"/>
    <w:rsid w:val="004B5236"/>
    <w:rsid w:val="004C6BE5"/>
    <w:rsid w:val="004C79DC"/>
    <w:rsid w:val="004E41A5"/>
    <w:rsid w:val="005029F1"/>
    <w:rsid w:val="00502B51"/>
    <w:rsid w:val="00503422"/>
    <w:rsid w:val="00512E82"/>
    <w:rsid w:val="005419CC"/>
    <w:rsid w:val="005518FD"/>
    <w:rsid w:val="005605B7"/>
    <w:rsid w:val="0057556D"/>
    <w:rsid w:val="00597B73"/>
    <w:rsid w:val="005A0A72"/>
    <w:rsid w:val="005C42CF"/>
    <w:rsid w:val="005C5878"/>
    <w:rsid w:val="005D7C6A"/>
    <w:rsid w:val="005F2C4B"/>
    <w:rsid w:val="0061023A"/>
    <w:rsid w:val="00632B70"/>
    <w:rsid w:val="00637340"/>
    <w:rsid w:val="006403B6"/>
    <w:rsid w:val="006530C3"/>
    <w:rsid w:val="006575CB"/>
    <w:rsid w:val="00666750"/>
    <w:rsid w:val="006937F1"/>
    <w:rsid w:val="006A147A"/>
    <w:rsid w:val="006A2E57"/>
    <w:rsid w:val="006F370F"/>
    <w:rsid w:val="00701DE2"/>
    <w:rsid w:val="00710866"/>
    <w:rsid w:val="007108B1"/>
    <w:rsid w:val="0071508A"/>
    <w:rsid w:val="00720DA6"/>
    <w:rsid w:val="00725154"/>
    <w:rsid w:val="007954C5"/>
    <w:rsid w:val="00796220"/>
    <w:rsid w:val="007A30C2"/>
    <w:rsid w:val="007E285F"/>
    <w:rsid w:val="007E4FEB"/>
    <w:rsid w:val="007F778B"/>
    <w:rsid w:val="00814FAE"/>
    <w:rsid w:val="00831172"/>
    <w:rsid w:val="00834B0C"/>
    <w:rsid w:val="008415B7"/>
    <w:rsid w:val="008811DF"/>
    <w:rsid w:val="00891F08"/>
    <w:rsid w:val="008E22DB"/>
    <w:rsid w:val="008E58D0"/>
    <w:rsid w:val="008E6337"/>
    <w:rsid w:val="008E6CB9"/>
    <w:rsid w:val="008F2CB2"/>
    <w:rsid w:val="008F3A1E"/>
    <w:rsid w:val="0092422D"/>
    <w:rsid w:val="009277FD"/>
    <w:rsid w:val="00930307"/>
    <w:rsid w:val="009305D8"/>
    <w:rsid w:val="009436B3"/>
    <w:rsid w:val="00993092"/>
    <w:rsid w:val="009B11E2"/>
    <w:rsid w:val="009B1CCD"/>
    <w:rsid w:val="009C0A04"/>
    <w:rsid w:val="009C0FB9"/>
    <w:rsid w:val="009C1FA8"/>
    <w:rsid w:val="009E3D10"/>
    <w:rsid w:val="009E5B6B"/>
    <w:rsid w:val="009F6C21"/>
    <w:rsid w:val="00A024F1"/>
    <w:rsid w:val="00A10069"/>
    <w:rsid w:val="00A1363F"/>
    <w:rsid w:val="00A24016"/>
    <w:rsid w:val="00A435F5"/>
    <w:rsid w:val="00A60134"/>
    <w:rsid w:val="00A607FC"/>
    <w:rsid w:val="00A86F72"/>
    <w:rsid w:val="00A97ADF"/>
    <w:rsid w:val="00AA7220"/>
    <w:rsid w:val="00AC6A7F"/>
    <w:rsid w:val="00AD036E"/>
    <w:rsid w:val="00AE2081"/>
    <w:rsid w:val="00B163C5"/>
    <w:rsid w:val="00B25764"/>
    <w:rsid w:val="00B834E9"/>
    <w:rsid w:val="00B86810"/>
    <w:rsid w:val="00B90604"/>
    <w:rsid w:val="00BA07A7"/>
    <w:rsid w:val="00BB1A4D"/>
    <w:rsid w:val="00BD4982"/>
    <w:rsid w:val="00BE3989"/>
    <w:rsid w:val="00BF5BB1"/>
    <w:rsid w:val="00C17345"/>
    <w:rsid w:val="00C225A5"/>
    <w:rsid w:val="00C31EF9"/>
    <w:rsid w:val="00C33613"/>
    <w:rsid w:val="00C5503E"/>
    <w:rsid w:val="00C5633F"/>
    <w:rsid w:val="00C57ABB"/>
    <w:rsid w:val="00C654E6"/>
    <w:rsid w:val="00C67652"/>
    <w:rsid w:val="00C77EFB"/>
    <w:rsid w:val="00C8320C"/>
    <w:rsid w:val="00C85726"/>
    <w:rsid w:val="00CA1786"/>
    <w:rsid w:val="00CA1D45"/>
    <w:rsid w:val="00CD40BE"/>
    <w:rsid w:val="00CE52C1"/>
    <w:rsid w:val="00D04BDC"/>
    <w:rsid w:val="00D10D64"/>
    <w:rsid w:val="00D36530"/>
    <w:rsid w:val="00D55356"/>
    <w:rsid w:val="00D65C57"/>
    <w:rsid w:val="00D668C4"/>
    <w:rsid w:val="00D70670"/>
    <w:rsid w:val="00D755B8"/>
    <w:rsid w:val="00D96007"/>
    <w:rsid w:val="00DB7975"/>
    <w:rsid w:val="00DF2C51"/>
    <w:rsid w:val="00E12823"/>
    <w:rsid w:val="00E27FA4"/>
    <w:rsid w:val="00E44200"/>
    <w:rsid w:val="00E54BCA"/>
    <w:rsid w:val="00E9582F"/>
    <w:rsid w:val="00EB58D3"/>
    <w:rsid w:val="00EC6720"/>
    <w:rsid w:val="00EE4235"/>
    <w:rsid w:val="00EF47E0"/>
    <w:rsid w:val="00F239F4"/>
    <w:rsid w:val="00F33F19"/>
    <w:rsid w:val="00F40CFD"/>
    <w:rsid w:val="00F44645"/>
    <w:rsid w:val="00F55108"/>
    <w:rsid w:val="00F83C09"/>
    <w:rsid w:val="00F8493A"/>
    <w:rsid w:val="00F96DC1"/>
    <w:rsid w:val="00FA7006"/>
    <w:rsid w:val="00FB098D"/>
    <w:rsid w:val="00FD08F9"/>
    <w:rsid w:val="00FD5FF5"/>
    <w:rsid w:val="00FE5F1C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9E0DD4-96AC-4FE5-A17F-059C5699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pBdr>
        <w:bottom w:val="double" w:sz="12" w:space="1" w:color="auto"/>
      </w:pBdr>
      <w:tabs>
        <w:tab w:val="left" w:pos="426"/>
        <w:tab w:val="left" w:pos="4395"/>
        <w:tab w:val="left" w:pos="4962"/>
      </w:tabs>
      <w:jc w:val="center"/>
      <w:outlineLvl w:val="0"/>
    </w:pPr>
    <w:rPr>
      <w:b/>
      <w:sz w:val="32"/>
      <w:lang w:val="uk-UA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lang w:val="uk-UA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tabs>
        <w:tab w:val="left" w:pos="4395"/>
      </w:tabs>
      <w:ind w:firstLine="851"/>
    </w:pPr>
    <w:rPr>
      <w:sz w:val="28"/>
    </w:rPr>
  </w:style>
  <w:style w:type="paragraph" w:styleId="a6">
    <w:name w:val="Body Text"/>
    <w:basedOn w:val="a"/>
    <w:pPr>
      <w:tabs>
        <w:tab w:val="left" w:pos="4395"/>
      </w:tabs>
    </w:pPr>
    <w:rPr>
      <w:sz w:val="28"/>
    </w:rPr>
  </w:style>
  <w:style w:type="paragraph" w:styleId="a7">
    <w:name w:val="Normal (Web)"/>
    <w:basedOn w:val="a"/>
    <w:uiPriority w:val="99"/>
    <w:unhideWhenUsed/>
    <w:rsid w:val="00D668C4"/>
    <w:pPr>
      <w:spacing w:before="240"/>
    </w:pPr>
    <w:rPr>
      <w:szCs w:val="24"/>
      <w:lang w:val="uk-UA" w:eastAsia="uk-UA"/>
    </w:rPr>
  </w:style>
  <w:style w:type="paragraph" w:styleId="a8">
    <w:name w:val="Balloon Text"/>
    <w:basedOn w:val="a"/>
    <w:link w:val="a9"/>
    <w:rsid w:val="004251F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4251FE"/>
    <w:rPr>
      <w:rFonts w:ascii="Tahoma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220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rsid w:val="00220F61"/>
    <w:rPr>
      <w:rFonts w:ascii="Courier New" w:hAnsi="Courier New" w:cs="Courier New"/>
    </w:rPr>
  </w:style>
  <w:style w:type="character" w:styleId="aa">
    <w:name w:val="Emphasis"/>
    <w:uiPriority w:val="20"/>
    <w:qFormat/>
    <w:rsid w:val="0042283A"/>
    <w:rPr>
      <w:i/>
      <w:iCs/>
    </w:rPr>
  </w:style>
  <w:style w:type="character" w:styleId="ab">
    <w:name w:val="Strong"/>
    <w:uiPriority w:val="22"/>
    <w:qFormat/>
    <w:rsid w:val="00295D35"/>
    <w:rPr>
      <w:b/>
      <w:bCs/>
    </w:rPr>
  </w:style>
  <w:style w:type="paragraph" w:styleId="ac">
    <w:name w:val="Plain Text"/>
    <w:basedOn w:val="a"/>
    <w:link w:val="ad"/>
    <w:uiPriority w:val="99"/>
    <w:unhideWhenUsed/>
    <w:rsid w:val="000806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08065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logy@kyivcity.gov.ua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78;&#1080;&#1083;&#1090;&#1077;&#1087;&#1083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жилтепло</Template>
  <TotalTime>2</TotalTime>
  <Pages>1</Pages>
  <Words>417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Акціонерна  енергопостачальна  компанія</vt:lpstr>
    </vt:vector>
  </TitlesOfParts>
  <Company>Киевэнерго</Company>
  <LinksUpToDate>false</LinksUpToDate>
  <CharactersWithSpaces>3381</CharactersWithSpaces>
  <SharedDoc>false</SharedDoc>
  <HLinks>
    <vt:vector size="18" baseType="variant">
      <vt:variant>
        <vt:i4>6619161</vt:i4>
      </vt:variant>
      <vt:variant>
        <vt:i4>6</vt:i4>
      </vt:variant>
      <vt:variant>
        <vt:i4>0</vt:i4>
      </vt:variant>
      <vt:variant>
        <vt:i4>5</vt:i4>
      </vt:variant>
      <vt:variant>
        <vt:lpwstr>mailto:ecology@kyivcity.gov.ua</vt:lpwstr>
      </vt:variant>
      <vt:variant>
        <vt:lpwstr/>
      </vt:variant>
      <vt:variant>
        <vt:i4>6160441</vt:i4>
      </vt:variant>
      <vt:variant>
        <vt:i4>3</vt:i4>
      </vt:variant>
      <vt:variant>
        <vt:i4>0</vt:i4>
      </vt:variant>
      <vt:variant>
        <vt:i4>5</vt:i4>
      </vt:variant>
      <vt:variant>
        <vt:lpwstr>mailto:info@mepr.gov.ua</vt:lpwstr>
      </vt:variant>
      <vt:variant>
        <vt:lpwstr/>
      </vt:variant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https://golos.kyivcity.gov.ua/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Акціонерна  енергопостачальна  компанія</dc:title>
  <dc:creator>ira</dc:creator>
  <cp:lastModifiedBy>Сотніченко Катерина Петрівна</cp:lastModifiedBy>
  <cp:revision>3</cp:revision>
  <cp:lastPrinted>2018-04-19T08:48:00Z</cp:lastPrinted>
  <dcterms:created xsi:type="dcterms:W3CDTF">2022-09-08T10:32:00Z</dcterms:created>
  <dcterms:modified xsi:type="dcterms:W3CDTF">2022-09-08T10:33:00Z</dcterms:modified>
</cp:coreProperties>
</file>