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0E" w:rsidRPr="0083270B" w:rsidRDefault="0083270B" w:rsidP="00C00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70B">
        <w:rPr>
          <w:rFonts w:ascii="Times New Roman" w:hAnsi="Times New Roman" w:cs="Times New Roman"/>
          <w:b/>
          <w:sz w:val="28"/>
          <w:szCs w:val="28"/>
        </w:rPr>
        <w:t>Довідка про консультації</w:t>
      </w:r>
    </w:p>
    <w:p w:rsidR="0083270B" w:rsidRDefault="0083270B" w:rsidP="00C00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70B">
        <w:rPr>
          <w:rFonts w:ascii="Times New Roman" w:hAnsi="Times New Roman" w:cs="Times New Roman"/>
          <w:b/>
          <w:sz w:val="28"/>
          <w:szCs w:val="28"/>
        </w:rPr>
        <w:t>з органами влади у процесі стратегічної екологічної оцінки проєкту змін до Комплексної міської цільової програми екологічного благополуччя міста Києва на 2022-2025 роки, затвердженої рішенням Київської міської ради</w:t>
      </w:r>
    </w:p>
    <w:p w:rsidR="0083270B" w:rsidRDefault="0083270B" w:rsidP="00C00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70B">
        <w:rPr>
          <w:rFonts w:ascii="Times New Roman" w:hAnsi="Times New Roman" w:cs="Times New Roman"/>
          <w:b/>
          <w:sz w:val="28"/>
          <w:szCs w:val="28"/>
        </w:rPr>
        <w:t xml:space="preserve"> від 07 жовтня 2021 року №</w:t>
      </w:r>
      <w:r w:rsidR="00B368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270B">
        <w:rPr>
          <w:rFonts w:ascii="Times New Roman" w:hAnsi="Times New Roman" w:cs="Times New Roman"/>
          <w:b/>
          <w:sz w:val="28"/>
          <w:szCs w:val="28"/>
        </w:rPr>
        <w:t>2728/2769</w:t>
      </w:r>
    </w:p>
    <w:p w:rsidR="00C0099E" w:rsidRPr="0083270B" w:rsidRDefault="00C0099E" w:rsidP="00C00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70B" w:rsidRDefault="0083270B" w:rsidP="00FA0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702"/>
        <w:gridCol w:w="1701"/>
        <w:gridCol w:w="6237"/>
        <w:gridCol w:w="1560"/>
        <w:gridCol w:w="3683"/>
      </w:tblGrid>
      <w:tr w:rsidR="00AF126A" w:rsidTr="00AE3D7B">
        <w:tc>
          <w:tcPr>
            <w:tcW w:w="710" w:type="dxa"/>
          </w:tcPr>
          <w:p w:rsidR="00FA09C2" w:rsidRDefault="00FA09C2" w:rsidP="0055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1702" w:type="dxa"/>
          </w:tcPr>
          <w:p w:rsidR="00FA09C2" w:rsidRDefault="00FA09C2" w:rsidP="0055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Уповноважений орган</w:t>
            </w:r>
          </w:p>
        </w:tc>
        <w:tc>
          <w:tcPr>
            <w:tcW w:w="1701" w:type="dxa"/>
          </w:tcPr>
          <w:p w:rsidR="00FA09C2" w:rsidRDefault="00FA09C2" w:rsidP="00C0099E">
            <w:pPr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Редакція частини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ДДП/</w:t>
            </w:r>
            <w:r w:rsidR="00D835FE">
              <w:rPr>
                <w:rFonts w:ascii="Times New Roman" w:hAnsi="Times New Roman" w:cs="Times New Roman"/>
                <w:sz w:val="28"/>
                <w:szCs w:val="28"/>
              </w:rPr>
              <w:t>Звіту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СЕО, до якого висловлено зауваження (пропозицію)</w:t>
            </w:r>
          </w:p>
        </w:tc>
        <w:tc>
          <w:tcPr>
            <w:tcW w:w="6237" w:type="dxa"/>
          </w:tcPr>
          <w:p w:rsidR="00FA09C2" w:rsidRDefault="00FA09C2" w:rsidP="00C00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Зауваження/пропозиція</w:t>
            </w:r>
          </w:p>
        </w:tc>
        <w:tc>
          <w:tcPr>
            <w:tcW w:w="1560" w:type="dxa"/>
          </w:tcPr>
          <w:p w:rsidR="00FA09C2" w:rsidRDefault="00FA09C2" w:rsidP="00C0099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Спосіб врахування (враховано/ не враховано/ враховано частково)</w:t>
            </w:r>
          </w:p>
        </w:tc>
        <w:tc>
          <w:tcPr>
            <w:tcW w:w="3683" w:type="dxa"/>
          </w:tcPr>
          <w:p w:rsidR="00FA09C2" w:rsidRDefault="00FA09C2" w:rsidP="0055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Обгрунтування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A874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5E15" w:rsidTr="00AE3D7B">
        <w:tc>
          <w:tcPr>
            <w:tcW w:w="15593" w:type="dxa"/>
            <w:gridSpan w:val="6"/>
          </w:tcPr>
          <w:p w:rsidR="005B5E15" w:rsidRDefault="00AF126A" w:rsidP="00C00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5E15">
              <w:rPr>
                <w:rFonts w:ascii="Times New Roman" w:hAnsi="Times New Roman" w:cs="Times New Roman"/>
                <w:sz w:val="28"/>
                <w:szCs w:val="28"/>
              </w:rPr>
              <w:t>ДДП</w:t>
            </w:r>
          </w:p>
        </w:tc>
      </w:tr>
      <w:tr w:rsidR="00AF126A" w:rsidTr="00AE3D7B">
        <w:tc>
          <w:tcPr>
            <w:tcW w:w="710" w:type="dxa"/>
          </w:tcPr>
          <w:p w:rsidR="00FA09C2" w:rsidRDefault="00AF126A" w:rsidP="00FA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702" w:type="dxa"/>
          </w:tcPr>
          <w:p w:rsidR="00FA09C2" w:rsidRDefault="00C0099E" w:rsidP="00C0099E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Київсь-</w:t>
            </w:r>
            <w:r w:rsidR="00D835FE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r w:rsidR="00D835FE">
              <w:rPr>
                <w:rFonts w:ascii="Times New Roman" w:hAnsi="Times New Roman" w:cs="Times New Roman"/>
                <w:sz w:val="28"/>
                <w:szCs w:val="28"/>
              </w:rPr>
              <w:t xml:space="preserve"> міський ЦКПХ МОЗ», лист від 17.04.2023 №1608, Міністерство охорони здоров’я України, лист від 12.05.2023 №26-04/12614/2-23</w:t>
            </w:r>
          </w:p>
        </w:tc>
        <w:tc>
          <w:tcPr>
            <w:tcW w:w="1701" w:type="dxa"/>
          </w:tcPr>
          <w:p w:rsidR="00FA09C2" w:rsidRDefault="005518AA" w:rsidP="00FA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Програма в цілому</w:t>
            </w:r>
          </w:p>
        </w:tc>
        <w:tc>
          <w:tcPr>
            <w:tcW w:w="6237" w:type="dxa"/>
          </w:tcPr>
          <w:p w:rsidR="00FA09C2" w:rsidRDefault="00A66477" w:rsidP="00C00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урахуванням воєнного стану, внаслідок агресії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ряд пропозицій, що не увійшли до програми, потребують поступового впровадження та додаткових витрат, реалізація яких можлива після припинення військових дій, а саме:</w:t>
            </w:r>
          </w:p>
          <w:p w:rsidR="00A66477" w:rsidRDefault="00A66477" w:rsidP="00C00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Повітря</w:t>
            </w:r>
            <w:r w:rsidR="00B36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охоронні заходи, спрямовані на зменшення викидів пересувних джерел забруднення атмосферного повітря (автотранспорту), які за обсягами в 5 разів перевищують обсяги викидів стаціонарних джерел і залишаються основними забруднювачами повітряного середовища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м.Києва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560" w:type="dxa"/>
          </w:tcPr>
          <w:p w:rsidR="00FA09C2" w:rsidRDefault="00FA09C2" w:rsidP="00FA0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477" w:rsidRDefault="00A66477" w:rsidP="00FA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враховано</w:t>
            </w:r>
          </w:p>
        </w:tc>
        <w:tc>
          <w:tcPr>
            <w:tcW w:w="3683" w:type="dxa"/>
          </w:tcPr>
          <w:p w:rsidR="00FA09C2" w:rsidRDefault="005518AA" w:rsidP="00C00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Програма не передбачає таких заходів. Такі заходи будуть в подальшому враховані та розглянуті іншими стратегіями, програмами екологічного благополуччя, оздоровлення, поліпшення стану довкілля та сталого розвитку м.</w:t>
            </w:r>
            <w:r w:rsidR="00C00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Києва</w:t>
            </w:r>
          </w:p>
          <w:p w:rsidR="005518AA" w:rsidRDefault="005518AA" w:rsidP="00C00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26A" w:rsidTr="00AE3D7B">
        <w:tc>
          <w:tcPr>
            <w:tcW w:w="710" w:type="dxa"/>
          </w:tcPr>
          <w:p w:rsidR="005518AA" w:rsidRDefault="00AF126A" w:rsidP="0055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702" w:type="dxa"/>
          </w:tcPr>
          <w:p w:rsidR="005518AA" w:rsidRPr="005518AA" w:rsidRDefault="005518AA" w:rsidP="005518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---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»---</w:t>
            </w:r>
          </w:p>
        </w:tc>
        <w:tc>
          <w:tcPr>
            <w:tcW w:w="1701" w:type="dxa"/>
          </w:tcPr>
          <w:p w:rsidR="005518AA" w:rsidRPr="005518AA" w:rsidRDefault="005518AA" w:rsidP="005518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---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»---</w:t>
            </w:r>
          </w:p>
        </w:tc>
        <w:tc>
          <w:tcPr>
            <w:tcW w:w="6237" w:type="dxa"/>
          </w:tcPr>
          <w:p w:rsidR="005518AA" w:rsidRDefault="005518AA" w:rsidP="00C00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заходи щодо зменшення викидів стаціонарними джерелами, зокрема виробництвами енергетичної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галузі та відносно планів використання екологічно безпечних видів палива зазначеними підприємствами та на автотранспорті (використання електромобілів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впровадження відповідних технологій та виробництв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м.Києві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1560" w:type="dxa"/>
          </w:tcPr>
          <w:p w:rsidR="005518AA" w:rsidRDefault="005518AA" w:rsidP="0055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враховано</w:t>
            </w:r>
          </w:p>
        </w:tc>
        <w:tc>
          <w:tcPr>
            <w:tcW w:w="3683" w:type="dxa"/>
          </w:tcPr>
          <w:p w:rsidR="005518AA" w:rsidRDefault="005518AA" w:rsidP="00C00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Програма не передбачає таких заходів. Такі заходи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будуть в подальшому враховані та розглянуті іншими стратегіями, програмами екологічного благополуччя, оздоровлення, поліпшення стану довкілля та сталого розвитку м.</w:t>
            </w:r>
            <w:r w:rsidR="00C00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Києва</w:t>
            </w:r>
          </w:p>
        </w:tc>
      </w:tr>
      <w:tr w:rsidR="00AF126A" w:rsidTr="00AE3D7B">
        <w:tc>
          <w:tcPr>
            <w:tcW w:w="710" w:type="dxa"/>
          </w:tcPr>
          <w:p w:rsidR="005518AA" w:rsidRDefault="00AF126A" w:rsidP="0055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1702" w:type="dxa"/>
          </w:tcPr>
          <w:p w:rsidR="005518AA" w:rsidRPr="005518AA" w:rsidRDefault="005518AA" w:rsidP="005518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---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»---</w:t>
            </w:r>
          </w:p>
        </w:tc>
        <w:tc>
          <w:tcPr>
            <w:tcW w:w="1701" w:type="dxa"/>
          </w:tcPr>
          <w:p w:rsidR="005518AA" w:rsidRPr="005518AA" w:rsidRDefault="005518AA" w:rsidP="005518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---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»---</w:t>
            </w:r>
          </w:p>
        </w:tc>
        <w:tc>
          <w:tcPr>
            <w:tcW w:w="6237" w:type="dxa"/>
          </w:tcPr>
          <w:p w:rsidR="005518AA" w:rsidRDefault="005518AA" w:rsidP="00C00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заходи щодо поліпшення якості питної води, що подається населенню з централізованих (водопровідна мережа) і децентралізованих (артезіанські свердловини,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бювети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ін.) джерел водопостачання, впровадження нових, більш ефективних і безпечних технологій очищення і знезараження води для питних цілей з поверхневих водойм та підземних джерел; </w:t>
            </w:r>
          </w:p>
        </w:tc>
        <w:tc>
          <w:tcPr>
            <w:tcW w:w="1560" w:type="dxa"/>
          </w:tcPr>
          <w:p w:rsidR="005518AA" w:rsidRDefault="005518AA" w:rsidP="0055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8AA" w:rsidRDefault="005518AA" w:rsidP="0055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враховано</w:t>
            </w:r>
          </w:p>
        </w:tc>
        <w:tc>
          <w:tcPr>
            <w:tcW w:w="3683" w:type="dxa"/>
          </w:tcPr>
          <w:p w:rsidR="005518AA" w:rsidRDefault="005518AA" w:rsidP="00C00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Програма не передбачає таких заходів. Такі заходи будуть в подальшому враховані та розглянуті іншими стратегіями, програмами екологічного благополуччя, оздоровлення, поліпшення стану довкілля та сталого розвитку м.</w:t>
            </w:r>
            <w:r w:rsidR="00C00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Києва</w:t>
            </w:r>
          </w:p>
        </w:tc>
      </w:tr>
      <w:tr w:rsidR="00AF126A" w:rsidTr="00AE3D7B">
        <w:tc>
          <w:tcPr>
            <w:tcW w:w="710" w:type="dxa"/>
          </w:tcPr>
          <w:p w:rsidR="005518AA" w:rsidRDefault="00AF126A" w:rsidP="0055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702" w:type="dxa"/>
          </w:tcPr>
          <w:p w:rsidR="005518AA" w:rsidRPr="005518AA" w:rsidRDefault="005518AA" w:rsidP="005518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---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»---</w:t>
            </w:r>
          </w:p>
        </w:tc>
        <w:tc>
          <w:tcPr>
            <w:tcW w:w="1701" w:type="dxa"/>
          </w:tcPr>
          <w:p w:rsidR="005518AA" w:rsidRPr="005518AA" w:rsidRDefault="005518AA" w:rsidP="005518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---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»---</w:t>
            </w:r>
          </w:p>
        </w:tc>
        <w:tc>
          <w:tcPr>
            <w:tcW w:w="6237" w:type="dxa"/>
          </w:tcPr>
          <w:p w:rsidR="005518AA" w:rsidRDefault="005518AA" w:rsidP="00C00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заходи з подальшого розвитку системи каналізування міських територій, реконструкції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Бортницької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станції аерації з впровадженням ефективних технологій очищення і знезараження стічних вод та попередження забруднення річки Дніпро;</w:t>
            </w:r>
          </w:p>
        </w:tc>
        <w:tc>
          <w:tcPr>
            <w:tcW w:w="1560" w:type="dxa"/>
          </w:tcPr>
          <w:p w:rsidR="005518AA" w:rsidRDefault="005518AA" w:rsidP="0055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8AA" w:rsidRDefault="005518AA" w:rsidP="0055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враховано</w:t>
            </w:r>
          </w:p>
        </w:tc>
        <w:tc>
          <w:tcPr>
            <w:tcW w:w="3683" w:type="dxa"/>
          </w:tcPr>
          <w:p w:rsidR="005518AA" w:rsidRDefault="005518AA" w:rsidP="00C00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Програма не передбачає таких заходів. Такі заходи будуть в подальшому враховані та розглянуті іншими стратегіями, програмами екологічного благополуччя, оздоровлення, поліпшення стану довкілля та сталого розвитку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м.Києва</w:t>
            </w:r>
            <w:proofErr w:type="spellEnd"/>
          </w:p>
        </w:tc>
      </w:tr>
      <w:tr w:rsidR="00AF126A" w:rsidTr="00AE3D7B">
        <w:tc>
          <w:tcPr>
            <w:tcW w:w="710" w:type="dxa"/>
          </w:tcPr>
          <w:p w:rsidR="00A87474" w:rsidRDefault="00AF126A" w:rsidP="00A87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702" w:type="dxa"/>
          </w:tcPr>
          <w:p w:rsidR="00A87474" w:rsidRPr="005518AA" w:rsidRDefault="00A87474" w:rsidP="00A874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---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»---</w:t>
            </w:r>
          </w:p>
        </w:tc>
        <w:tc>
          <w:tcPr>
            <w:tcW w:w="1701" w:type="dxa"/>
          </w:tcPr>
          <w:p w:rsidR="00A87474" w:rsidRPr="005518AA" w:rsidRDefault="00A87474" w:rsidP="00A874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---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»---</w:t>
            </w:r>
          </w:p>
        </w:tc>
        <w:tc>
          <w:tcPr>
            <w:tcW w:w="6237" w:type="dxa"/>
          </w:tcPr>
          <w:p w:rsidR="00A87474" w:rsidRPr="00D40E38" w:rsidRDefault="00A87474" w:rsidP="00C00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заходи з охорони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грунтів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міських територій із вдосконаленням системи санітарної очистки та роздільного збирання твердих побутових відходів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 подальшою їх переробкою та утилізацією, впровадження сучасних і безпечних технологій переробки відходів з наступною ліквідацією відповідних полігонів їх захоронення, недопущення утворення стихійних звалищ, завершення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демеркурізації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(видалення залишків ртутних відходів) та санації території колишнього заводу хімікатів ВАТ «Радикал».</w:t>
            </w:r>
          </w:p>
        </w:tc>
        <w:tc>
          <w:tcPr>
            <w:tcW w:w="1560" w:type="dxa"/>
          </w:tcPr>
          <w:p w:rsidR="00A87474" w:rsidRPr="001862A8" w:rsidRDefault="00A87474" w:rsidP="00A874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Враховано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частково</w:t>
            </w:r>
            <w:proofErr w:type="spellEnd"/>
          </w:p>
        </w:tc>
        <w:tc>
          <w:tcPr>
            <w:tcW w:w="3683" w:type="dxa"/>
          </w:tcPr>
          <w:p w:rsidR="00A87474" w:rsidRDefault="00A87474" w:rsidP="00C00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ДДП включено захід «</w:t>
            </w:r>
            <w:r w:rsidRPr="001862A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заходів з </w:t>
            </w:r>
            <w:proofErr w:type="spellStart"/>
            <w:r w:rsidRPr="001862A8">
              <w:rPr>
                <w:rFonts w:ascii="Times New Roman" w:hAnsi="Times New Roman" w:cs="Times New Roman"/>
                <w:sz w:val="28"/>
                <w:szCs w:val="28"/>
              </w:rPr>
              <w:t>демеркуризації</w:t>
            </w:r>
            <w:proofErr w:type="spellEnd"/>
            <w:r w:rsidRPr="00186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2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промислового майданчика ВАТ «Радикал», забезпечення екологічно безпечного збирання, перевезення, зберігання, оброблення, утилізації і захоронення </w:t>
            </w:r>
            <w:proofErr w:type="spellStart"/>
            <w:r w:rsidRPr="001862A8">
              <w:rPr>
                <w:rFonts w:ascii="Times New Roman" w:hAnsi="Times New Roman" w:cs="Times New Roman"/>
                <w:sz w:val="28"/>
                <w:szCs w:val="28"/>
              </w:rPr>
              <w:t>ртутєвмісних</w:t>
            </w:r>
            <w:proofErr w:type="spellEnd"/>
            <w:r w:rsidRPr="001862A8">
              <w:rPr>
                <w:rFonts w:ascii="Times New Roman" w:hAnsi="Times New Roman" w:cs="Times New Roman"/>
                <w:sz w:val="28"/>
                <w:szCs w:val="28"/>
              </w:rPr>
              <w:t xml:space="preserve"> відходів та рекультивації забруднених територій в тому числі здійснення проектних робіт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87474" w:rsidRDefault="00A87474" w:rsidP="00C00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474" w:rsidRDefault="00A87474" w:rsidP="00C00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Інші пропозицій не враховані в зв’язку із тим, що Програма не передбачає таких заходів. Такі заходи будуть в подальшому враховані та розглянуті іншими стратегіями, програмами екологічного благополуччя, оздоровлення, поліпшення стану довкілля та сталого розвитку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м.Києва</w:t>
            </w:r>
            <w:proofErr w:type="spellEnd"/>
          </w:p>
        </w:tc>
      </w:tr>
      <w:tr w:rsidR="00AF126A" w:rsidTr="00AE3D7B">
        <w:tc>
          <w:tcPr>
            <w:tcW w:w="710" w:type="dxa"/>
          </w:tcPr>
          <w:p w:rsidR="00805F34" w:rsidRDefault="00AF126A" w:rsidP="0080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1702" w:type="dxa"/>
          </w:tcPr>
          <w:p w:rsidR="00805F34" w:rsidRDefault="00805F34" w:rsidP="0080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Міністерство захисту довкілля та природних ресурсів України, лист від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05.06.2023 №25/5-21/8733-23</w:t>
            </w:r>
          </w:p>
        </w:tc>
        <w:tc>
          <w:tcPr>
            <w:tcW w:w="1701" w:type="dxa"/>
          </w:tcPr>
          <w:p w:rsidR="00805F34" w:rsidRPr="005518AA" w:rsidRDefault="00592330" w:rsidP="00805F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Програма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цілому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зокрема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природоохоронні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6237" w:type="dxa"/>
          </w:tcPr>
          <w:p w:rsidR="008878DF" w:rsidRPr="008878DF" w:rsidRDefault="008878DF" w:rsidP="00C0099E">
            <w:pPr>
              <w:pStyle w:val="20"/>
              <w:shd w:val="clear" w:color="auto" w:fill="auto"/>
              <w:tabs>
                <w:tab w:val="left" w:pos="883"/>
              </w:tabs>
              <w:ind w:right="19" w:firstLine="60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 w:eastAsia="uk-UA" w:bidi="uk-UA"/>
              </w:rPr>
              <w:t xml:space="preserve">1) </w:t>
            </w:r>
            <w:r w:rsidRPr="008878DF">
              <w:rPr>
                <w:color w:val="000000"/>
                <w:sz w:val="28"/>
                <w:szCs w:val="28"/>
                <w:lang w:eastAsia="uk-UA" w:bidi="uk-UA"/>
              </w:rPr>
              <w:t>Пропонуємо у Програмі, зокрема щодо заходів, які передбачається фінансувати за рахунок коштів Київського міського фонду охорони навколишнього природного середовища, забезпечити врахування:</w:t>
            </w:r>
          </w:p>
          <w:p w:rsidR="008878DF" w:rsidRPr="008878DF" w:rsidRDefault="008878DF" w:rsidP="00C0099E">
            <w:pPr>
              <w:pStyle w:val="20"/>
              <w:shd w:val="clear" w:color="auto" w:fill="auto"/>
              <w:ind w:right="19" w:firstLine="620"/>
              <w:rPr>
                <w:sz w:val="28"/>
                <w:szCs w:val="28"/>
              </w:rPr>
            </w:pPr>
            <w:r w:rsidRPr="008878DF">
              <w:rPr>
                <w:color w:val="000000"/>
                <w:sz w:val="28"/>
                <w:szCs w:val="28"/>
                <w:lang w:eastAsia="uk-UA" w:bidi="uk-UA"/>
              </w:rPr>
              <w:t xml:space="preserve">статті 47 Закону України «Про охорону навколишнього природного середовища», згідно з </w:t>
            </w:r>
            <w:r w:rsidRPr="008878DF">
              <w:rPr>
                <w:color w:val="000000"/>
                <w:sz w:val="28"/>
                <w:szCs w:val="28"/>
                <w:lang w:eastAsia="uk-UA" w:bidi="uk-UA"/>
              </w:rPr>
              <w:lastRenderedPageBreak/>
              <w:t>якою «кошти місцевих, Автономної Республіки Крим і Державного фондів охорони навколишнього природного середовища можуть використовуватися тільки для фінансового забезпечення здійснення природоохоронних заходів, включаючи захист від шкідливої дії вод сільських населених пунктів та сільськогосподарських угідь, ресурсозберігаючих заходів, у тому числі наукових досліджень з цих питань, ведення державного кадастру територій та об’єктів природно-заповідного фонду, лісорозведення на землях державної та комунальної форм власності, здійснення земельних ділянок приватної форми власності з господарства або створення територій та об’єктів природно-заповідного фонду, а також заходів для зниження забруднення навколишнього природного середовища та дотримання екологічних нормативів і нормативів екологічної безпеки, для зниження впливу забруднення навколишнього природного середовища на здоров’я населення»;</w:t>
            </w:r>
          </w:p>
          <w:p w:rsidR="00805F34" w:rsidRPr="008878DF" w:rsidRDefault="008878DF" w:rsidP="00C0099E">
            <w:pPr>
              <w:pStyle w:val="20"/>
              <w:shd w:val="clear" w:color="auto" w:fill="auto"/>
              <w:ind w:firstLine="620"/>
              <w:rPr>
                <w:sz w:val="28"/>
                <w:szCs w:val="28"/>
              </w:rPr>
            </w:pPr>
            <w:r w:rsidRPr="008878DF">
              <w:rPr>
                <w:color w:val="000000"/>
                <w:sz w:val="28"/>
                <w:szCs w:val="28"/>
                <w:lang w:eastAsia="uk-UA" w:bidi="uk-UA"/>
              </w:rPr>
              <w:t>Переліку видів діяльності, що належать до природоохоронних заходів, затвердженого постановою Кабінету Міністрів України від 17.09.1996 № 1147.</w:t>
            </w:r>
          </w:p>
        </w:tc>
        <w:tc>
          <w:tcPr>
            <w:tcW w:w="1560" w:type="dxa"/>
          </w:tcPr>
          <w:p w:rsidR="00805F34" w:rsidRPr="00A87474" w:rsidRDefault="00B368FA" w:rsidP="0080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Враховано</w:t>
            </w:r>
          </w:p>
        </w:tc>
        <w:tc>
          <w:tcPr>
            <w:tcW w:w="3683" w:type="dxa"/>
          </w:tcPr>
          <w:p w:rsidR="00805F34" w:rsidRDefault="00B368FA" w:rsidP="00C00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Програма передбачає ряд заходів, фінансування по яких планується здійснювати за рахунок </w:t>
            </w:r>
            <w:r w:rsidRPr="00B368FA">
              <w:rPr>
                <w:rFonts w:ascii="Times New Roman" w:hAnsi="Times New Roman" w:cs="Times New Roman"/>
                <w:sz w:val="28"/>
                <w:szCs w:val="28"/>
              </w:rPr>
              <w:t xml:space="preserve">коштів Київського міського фонду охорони навколишнього природного </w:t>
            </w:r>
            <w:r w:rsidRPr="00B368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середовища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урахуванням видів діяльності, які відповідають вимогам </w:t>
            </w:r>
            <w:r w:rsidRPr="00B368FA">
              <w:rPr>
                <w:rFonts w:ascii="Times New Roman" w:hAnsi="Times New Roman" w:cs="Times New Roman"/>
                <w:sz w:val="28"/>
                <w:szCs w:val="28"/>
              </w:rPr>
              <w:t>постанов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8FA">
              <w:rPr>
                <w:rFonts w:ascii="Times New Roman" w:hAnsi="Times New Roman" w:cs="Times New Roman"/>
                <w:sz w:val="28"/>
                <w:szCs w:val="28"/>
              </w:rPr>
              <w:t xml:space="preserve"> Кабінету Міністрів України від 17.09.1996 № 1147</w:t>
            </w:r>
          </w:p>
        </w:tc>
      </w:tr>
      <w:tr w:rsidR="00AF126A" w:rsidTr="00AE3D7B">
        <w:tc>
          <w:tcPr>
            <w:tcW w:w="710" w:type="dxa"/>
          </w:tcPr>
          <w:p w:rsidR="00592330" w:rsidRDefault="00AF126A" w:rsidP="00592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1702" w:type="dxa"/>
          </w:tcPr>
          <w:p w:rsidR="00592330" w:rsidRDefault="00592330" w:rsidP="00592330">
            <w:r w:rsidRPr="00900D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---</w:t>
            </w:r>
            <w:r w:rsidRPr="00900D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00D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»---</w:t>
            </w:r>
          </w:p>
        </w:tc>
        <w:tc>
          <w:tcPr>
            <w:tcW w:w="1701" w:type="dxa"/>
          </w:tcPr>
          <w:p w:rsidR="00592330" w:rsidRPr="008E509D" w:rsidRDefault="008E509D" w:rsidP="00592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09D">
              <w:rPr>
                <w:rFonts w:ascii="Times New Roman" w:hAnsi="Times New Roman" w:cs="Times New Roman"/>
                <w:sz w:val="28"/>
                <w:szCs w:val="28"/>
              </w:rPr>
              <w:t>Заходи, які планується реалізувати на території островів</w:t>
            </w:r>
          </w:p>
        </w:tc>
        <w:tc>
          <w:tcPr>
            <w:tcW w:w="6237" w:type="dxa"/>
          </w:tcPr>
          <w:p w:rsidR="00592330" w:rsidRPr="008878DF" w:rsidRDefault="00592330" w:rsidP="00C0099E">
            <w:pPr>
              <w:pStyle w:val="20"/>
              <w:shd w:val="clear" w:color="auto" w:fill="auto"/>
              <w:tabs>
                <w:tab w:val="left" w:pos="883"/>
              </w:tabs>
              <w:ind w:firstLine="60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 w:bidi="uk-UA"/>
              </w:rPr>
              <w:t xml:space="preserve">2) </w:t>
            </w:r>
            <w:r w:rsidRPr="008878DF">
              <w:rPr>
                <w:color w:val="000000"/>
                <w:sz w:val="28"/>
                <w:szCs w:val="28"/>
                <w:lang w:eastAsia="uk-UA" w:bidi="uk-UA"/>
              </w:rPr>
              <w:t>Щодо заходів Програми, які передбачається реалізовувати на території островів (піт. 1.1.11, 1.1.12, 2.1.19 та ін.) пропонуємо урахувати, що:</w:t>
            </w:r>
          </w:p>
          <w:p w:rsidR="00592330" w:rsidRPr="008878DF" w:rsidRDefault="00592330" w:rsidP="00C0099E">
            <w:pPr>
              <w:pStyle w:val="20"/>
              <w:shd w:val="clear" w:color="auto" w:fill="auto"/>
              <w:ind w:right="96" w:firstLine="640"/>
              <w:rPr>
                <w:sz w:val="28"/>
                <w:szCs w:val="28"/>
              </w:rPr>
            </w:pPr>
            <w:r w:rsidRPr="008878DF">
              <w:rPr>
                <w:color w:val="000000"/>
                <w:sz w:val="28"/>
                <w:szCs w:val="28"/>
                <w:lang w:eastAsia="uk-UA" w:bidi="uk-UA"/>
              </w:rPr>
              <w:t>відповідно до статті 88 Водного кодексу України на островах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8878DF">
              <w:rPr>
                <w:color w:val="000000"/>
                <w:sz w:val="28"/>
                <w:szCs w:val="28"/>
                <w:lang w:eastAsia="uk-UA" w:bidi="uk-UA"/>
              </w:rPr>
              <w:t xml:space="preserve">встановлюється режим обмеженої господарської діяльності, </w:t>
            </w:r>
            <w:r w:rsidRPr="008878DF">
              <w:rPr>
                <w:color w:val="000000"/>
                <w:sz w:val="28"/>
                <w:szCs w:val="28"/>
                <w:lang w:eastAsia="uk-UA" w:bidi="uk-UA"/>
              </w:rPr>
              <w:lastRenderedPageBreak/>
              <w:t>передбачений для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8878DF">
              <w:rPr>
                <w:color w:val="000000"/>
                <w:sz w:val="28"/>
                <w:szCs w:val="28"/>
                <w:lang w:eastAsia="uk-UA" w:bidi="uk-UA"/>
              </w:rPr>
              <w:t>прибережних захисних смуг (далі - ПЗС). Тобто на всю територію острова мають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8878DF">
              <w:rPr>
                <w:color w:val="000000"/>
                <w:sz w:val="28"/>
                <w:szCs w:val="28"/>
                <w:lang w:eastAsia="uk-UA" w:bidi="uk-UA"/>
              </w:rPr>
              <w:t>поширюватися обмеження у використанні земель 05.02 «Прибережна захисна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8878DF">
              <w:rPr>
                <w:color w:val="000000"/>
                <w:sz w:val="28"/>
                <w:szCs w:val="28"/>
                <w:lang w:eastAsia="uk-UA" w:bidi="uk-UA"/>
              </w:rPr>
              <w:t>смуга вздовж річок, навколо водойм та на островах», а також 05.01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8878DF">
              <w:rPr>
                <w:color w:val="000000"/>
                <w:sz w:val="28"/>
                <w:szCs w:val="28"/>
                <w:lang w:eastAsia="uk-UA" w:bidi="uk-UA"/>
              </w:rPr>
              <w:t>«Водоохоронна зона» (оскільки ГІЗС виділяються у межах водоохоронної зони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8878DF">
              <w:rPr>
                <w:color w:val="000000"/>
                <w:sz w:val="28"/>
                <w:szCs w:val="28"/>
                <w:lang w:eastAsia="uk-UA" w:bidi="uk-UA"/>
              </w:rPr>
              <w:t>(далі - ВЗ), а отже наявність ПЗС автоматично означає наявність ВЗ);</w:t>
            </w:r>
          </w:p>
          <w:p w:rsidR="00592330" w:rsidRPr="008878DF" w:rsidRDefault="00592330" w:rsidP="00C0099E">
            <w:pPr>
              <w:pStyle w:val="20"/>
              <w:shd w:val="clear" w:color="auto" w:fill="auto"/>
              <w:ind w:right="96" w:firstLine="640"/>
              <w:rPr>
                <w:sz w:val="28"/>
                <w:szCs w:val="28"/>
              </w:rPr>
            </w:pPr>
            <w:r w:rsidRPr="008878DF">
              <w:rPr>
                <w:color w:val="000000"/>
                <w:sz w:val="28"/>
                <w:szCs w:val="28"/>
                <w:lang w:eastAsia="uk-UA" w:bidi="uk-UA"/>
              </w:rPr>
              <w:t xml:space="preserve">зокрема, на 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>в</w:t>
            </w:r>
            <w:r w:rsidRPr="008878DF">
              <w:rPr>
                <w:color w:val="000000"/>
                <w:sz w:val="28"/>
                <w:szCs w:val="28"/>
                <w:lang w:eastAsia="uk-UA" w:bidi="uk-UA"/>
              </w:rPr>
              <w:t>сю територію острова поширюються вимоги статті 89 Водного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8878DF">
              <w:rPr>
                <w:color w:val="000000"/>
                <w:sz w:val="28"/>
                <w:szCs w:val="28"/>
                <w:lang w:eastAsia="uk-UA" w:bidi="uk-UA"/>
              </w:rPr>
              <w:t>кодексу України та статті 61 Земельного кодексу України, згідно з якими у ПЗС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8878DF">
              <w:rPr>
                <w:color w:val="000000"/>
                <w:sz w:val="28"/>
                <w:szCs w:val="28"/>
                <w:lang w:eastAsia="uk-UA" w:bidi="uk-UA"/>
              </w:rPr>
              <w:t>уздовж річок, навколо водойм та на островах забороняється:</w:t>
            </w:r>
          </w:p>
          <w:p w:rsidR="00592330" w:rsidRPr="008878DF" w:rsidRDefault="00592330" w:rsidP="00C0099E">
            <w:pPr>
              <w:pStyle w:val="20"/>
              <w:shd w:val="clear" w:color="auto" w:fill="auto"/>
              <w:ind w:right="96" w:firstLine="640"/>
              <w:rPr>
                <w:sz w:val="28"/>
                <w:szCs w:val="28"/>
              </w:rPr>
            </w:pPr>
            <w:r w:rsidRPr="008878DF">
              <w:rPr>
                <w:color w:val="000000"/>
                <w:sz w:val="28"/>
                <w:szCs w:val="28"/>
                <w:lang w:eastAsia="uk-UA" w:bidi="uk-UA"/>
              </w:rPr>
              <w:t>розорювання земель (крім підготовки ґрунту для залуження і залісення), а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8878DF">
              <w:rPr>
                <w:color w:val="000000"/>
                <w:sz w:val="28"/>
                <w:szCs w:val="28"/>
                <w:lang w:eastAsia="uk-UA" w:bidi="uk-UA"/>
              </w:rPr>
              <w:t>також садівництво та городництво;</w:t>
            </w:r>
          </w:p>
          <w:p w:rsidR="00592330" w:rsidRPr="008878DF" w:rsidRDefault="00592330" w:rsidP="00C0099E">
            <w:pPr>
              <w:pStyle w:val="20"/>
              <w:shd w:val="clear" w:color="auto" w:fill="auto"/>
              <w:ind w:firstLine="640"/>
              <w:rPr>
                <w:sz w:val="28"/>
                <w:szCs w:val="28"/>
              </w:rPr>
            </w:pPr>
            <w:r w:rsidRPr="008878DF">
              <w:rPr>
                <w:color w:val="000000"/>
                <w:sz w:val="28"/>
                <w:szCs w:val="28"/>
                <w:lang w:eastAsia="uk-UA" w:bidi="uk-UA"/>
              </w:rPr>
              <w:t>зб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>ерігання та застосування пестици</w:t>
            </w:r>
            <w:r w:rsidRPr="008878DF">
              <w:rPr>
                <w:color w:val="000000"/>
                <w:sz w:val="28"/>
                <w:szCs w:val="28"/>
                <w:lang w:eastAsia="uk-UA" w:bidi="uk-UA"/>
              </w:rPr>
              <w:t>дів і добрив;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8878DF">
              <w:rPr>
                <w:color w:val="000000"/>
                <w:sz w:val="28"/>
                <w:szCs w:val="28"/>
                <w:lang w:eastAsia="uk-UA" w:bidi="uk-UA"/>
              </w:rPr>
              <w:t>влаштування літніх таборів для худоби;</w:t>
            </w:r>
          </w:p>
          <w:p w:rsidR="00592330" w:rsidRPr="008878DF" w:rsidRDefault="00592330" w:rsidP="00C0099E">
            <w:pPr>
              <w:pStyle w:val="20"/>
              <w:shd w:val="clear" w:color="auto" w:fill="auto"/>
              <w:ind w:right="96" w:firstLine="640"/>
              <w:rPr>
                <w:color w:val="000000"/>
                <w:sz w:val="28"/>
                <w:szCs w:val="28"/>
                <w:lang w:eastAsia="uk-UA" w:bidi="uk-UA"/>
              </w:rPr>
            </w:pPr>
            <w:r w:rsidRPr="008878DF">
              <w:rPr>
                <w:color w:val="000000"/>
                <w:sz w:val="28"/>
                <w:szCs w:val="28"/>
                <w:lang w:eastAsia="uk-UA" w:bidi="uk-UA"/>
              </w:rPr>
              <w:t>будівництво будь-яких споруд (крім гідротехнічних,</w:t>
            </w:r>
          </w:p>
          <w:p w:rsidR="00592330" w:rsidRPr="008878DF" w:rsidRDefault="00592330" w:rsidP="00C0099E">
            <w:pPr>
              <w:pStyle w:val="20"/>
              <w:shd w:val="clear" w:color="auto" w:fill="auto"/>
              <w:ind w:right="96" w:firstLine="640"/>
              <w:rPr>
                <w:color w:val="000000"/>
                <w:sz w:val="28"/>
                <w:szCs w:val="28"/>
                <w:lang w:eastAsia="uk-UA" w:bidi="uk-UA"/>
              </w:rPr>
            </w:pPr>
            <w:r w:rsidRPr="008878DF">
              <w:rPr>
                <w:color w:val="000000"/>
                <w:sz w:val="28"/>
                <w:szCs w:val="28"/>
                <w:lang w:eastAsia="uk-UA" w:bidi="uk-UA"/>
              </w:rPr>
              <w:t>призначення, гідрометричних та лінійних, а також</w:t>
            </w:r>
          </w:p>
          <w:p w:rsidR="00592330" w:rsidRPr="008878DF" w:rsidRDefault="00592330" w:rsidP="00C0099E">
            <w:pPr>
              <w:pStyle w:val="20"/>
              <w:shd w:val="clear" w:color="auto" w:fill="auto"/>
              <w:ind w:right="96" w:firstLine="640"/>
              <w:rPr>
                <w:color w:val="000000"/>
                <w:sz w:val="28"/>
                <w:szCs w:val="28"/>
                <w:lang w:eastAsia="uk-UA" w:bidi="uk-UA"/>
              </w:rPr>
            </w:pPr>
            <w:r w:rsidRPr="008878DF">
              <w:rPr>
                <w:color w:val="000000"/>
                <w:sz w:val="28"/>
                <w:szCs w:val="28"/>
                <w:lang w:eastAsia="uk-UA" w:bidi="uk-UA"/>
              </w:rPr>
              <w:t>фортифікаційних споруд, огорож, прикордонних знаків, прикордонних просік,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8878DF">
              <w:rPr>
                <w:color w:val="000000"/>
                <w:sz w:val="28"/>
                <w:szCs w:val="28"/>
                <w:lang w:eastAsia="uk-UA" w:bidi="uk-UA"/>
              </w:rPr>
              <w:t>комунікацій), у тому числі баз відпочинку, дач, гаражів та стоянок автомобілів;</w:t>
            </w:r>
          </w:p>
          <w:p w:rsidR="00592330" w:rsidRPr="008878DF" w:rsidRDefault="00592330" w:rsidP="00C0099E">
            <w:pPr>
              <w:pStyle w:val="20"/>
              <w:shd w:val="clear" w:color="auto" w:fill="auto"/>
              <w:ind w:firstLine="640"/>
              <w:rPr>
                <w:sz w:val="28"/>
                <w:szCs w:val="28"/>
              </w:rPr>
            </w:pPr>
            <w:r w:rsidRPr="008878DF">
              <w:rPr>
                <w:color w:val="000000"/>
                <w:sz w:val="28"/>
                <w:szCs w:val="28"/>
                <w:lang w:eastAsia="uk-UA" w:bidi="uk-UA"/>
              </w:rPr>
              <w:t>влаштування звалищ сміття, гноєсховищ, накопичувачів рідких і твердих відходів виробництва, кладовищ, скотомогильників, полів фільтрації тощо; миття та обслуговування транспортних засобів і техніки.</w:t>
            </w:r>
          </w:p>
        </w:tc>
        <w:tc>
          <w:tcPr>
            <w:tcW w:w="1560" w:type="dxa"/>
          </w:tcPr>
          <w:p w:rsidR="00592330" w:rsidRPr="00A87474" w:rsidRDefault="000C0362" w:rsidP="00592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Враховано</w:t>
            </w:r>
          </w:p>
        </w:tc>
        <w:tc>
          <w:tcPr>
            <w:tcW w:w="3683" w:type="dxa"/>
          </w:tcPr>
          <w:p w:rsidR="000C0362" w:rsidRPr="00CF498A" w:rsidRDefault="000C0362" w:rsidP="00C0099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4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Відповідно до статті 89 Водного кодексу України об'єкти, що знаходяться у прибережній захисній смузі, можуть експлуатуватись, якщо при цьому не </w:t>
            </w:r>
            <w:r w:rsidRPr="00CF4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порушується її режим. Не придатні для експлуатації споруди, а також ті, що не відповідають встановленим режимам господарювання, підлягають винесенню з прибережних захисних смуг.</w:t>
            </w:r>
          </w:p>
          <w:p w:rsidR="00592330" w:rsidRPr="00CF498A" w:rsidRDefault="000C0362" w:rsidP="00C0099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4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прибережних захисних смугах дозволяються реконструкція, реставрація та капітальний ремонт існуючих об’єктів.</w:t>
            </w:r>
          </w:p>
          <w:p w:rsidR="000C0362" w:rsidRPr="00CF498A" w:rsidRDefault="000C0362" w:rsidP="00C0099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4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Також, дана норма передбачає можливість будівництва комунікацій та  </w:t>
            </w:r>
            <w:r w:rsidRPr="00CF4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інженерно-технічних</w:t>
            </w:r>
            <w:r w:rsidRPr="00CF4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споруд</w:t>
            </w:r>
          </w:p>
        </w:tc>
      </w:tr>
      <w:tr w:rsidR="00AF126A" w:rsidTr="00AE3D7B">
        <w:tc>
          <w:tcPr>
            <w:tcW w:w="710" w:type="dxa"/>
          </w:tcPr>
          <w:p w:rsidR="00AF126A" w:rsidRDefault="00AF126A" w:rsidP="00AF1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</w:t>
            </w:r>
          </w:p>
        </w:tc>
        <w:tc>
          <w:tcPr>
            <w:tcW w:w="1702" w:type="dxa"/>
          </w:tcPr>
          <w:p w:rsidR="00AF126A" w:rsidRDefault="00AF126A" w:rsidP="00AF126A">
            <w:r w:rsidRPr="00900D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---</w:t>
            </w:r>
            <w:r w:rsidRPr="00900D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00D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»---</w:t>
            </w:r>
          </w:p>
        </w:tc>
        <w:tc>
          <w:tcPr>
            <w:tcW w:w="1701" w:type="dxa"/>
          </w:tcPr>
          <w:p w:rsidR="00AF126A" w:rsidRPr="00AF126A" w:rsidRDefault="00AF126A" w:rsidP="00AF1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2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Заходи Програми, які стосуються малих річок/струмків</w:t>
            </w:r>
          </w:p>
        </w:tc>
        <w:tc>
          <w:tcPr>
            <w:tcW w:w="6237" w:type="dxa"/>
          </w:tcPr>
          <w:p w:rsidR="00AF126A" w:rsidRPr="008878DF" w:rsidRDefault="00AF126A" w:rsidP="00AF126A">
            <w:pPr>
              <w:pStyle w:val="20"/>
              <w:shd w:val="clear" w:color="auto" w:fill="auto"/>
              <w:ind w:right="96" w:firstLine="640"/>
              <w:rPr>
                <w:color w:val="000000"/>
                <w:sz w:val="28"/>
                <w:szCs w:val="28"/>
                <w:lang w:eastAsia="uk-UA" w:bidi="uk-UA"/>
              </w:rPr>
            </w:pPr>
            <w:r w:rsidRPr="008878DF">
              <w:rPr>
                <w:color w:val="000000"/>
                <w:sz w:val="28"/>
                <w:szCs w:val="28"/>
                <w:lang w:eastAsia="uk-UA" w:bidi="uk-UA"/>
              </w:rPr>
              <w:t>3) Щодо заходів Програми, які стосуються малих річок/струмків (</w:t>
            </w:r>
            <w:proofErr w:type="spellStart"/>
            <w:r w:rsidRPr="008878DF">
              <w:rPr>
                <w:color w:val="000000"/>
                <w:sz w:val="28"/>
                <w:szCs w:val="28"/>
                <w:lang w:eastAsia="uk-UA" w:bidi="uk-UA"/>
              </w:rPr>
              <w:t>пп</w:t>
            </w:r>
            <w:proofErr w:type="spellEnd"/>
            <w:r w:rsidRPr="008878DF">
              <w:rPr>
                <w:color w:val="000000"/>
                <w:sz w:val="28"/>
                <w:szCs w:val="28"/>
                <w:lang w:eastAsia="uk-UA" w:bidi="uk-UA"/>
              </w:rPr>
              <w:t>. 1.1.9, 1.1.17 та ін.), пропонуємо врахувати вимоги статті 80 Водного кодексу України, згідно з якою з метою охорони водності малих річок забороняється:</w:t>
            </w:r>
          </w:p>
          <w:p w:rsidR="00AF126A" w:rsidRPr="008878DF" w:rsidRDefault="00AF126A" w:rsidP="00AF126A">
            <w:pPr>
              <w:pStyle w:val="20"/>
              <w:shd w:val="clear" w:color="auto" w:fill="auto"/>
              <w:ind w:right="96" w:firstLine="640"/>
              <w:rPr>
                <w:color w:val="000000"/>
                <w:sz w:val="28"/>
                <w:szCs w:val="28"/>
                <w:lang w:eastAsia="uk-UA" w:bidi="uk-UA"/>
              </w:rPr>
            </w:pPr>
            <w:r w:rsidRPr="008878DF">
              <w:rPr>
                <w:color w:val="000000"/>
                <w:sz w:val="28"/>
                <w:szCs w:val="28"/>
                <w:lang w:eastAsia="uk-UA" w:bidi="uk-UA"/>
              </w:rPr>
              <w:t>змінювати рельєф басейну річки;</w:t>
            </w:r>
          </w:p>
          <w:p w:rsidR="00AF126A" w:rsidRPr="008878DF" w:rsidRDefault="00AF126A" w:rsidP="00AF126A">
            <w:pPr>
              <w:pStyle w:val="20"/>
              <w:shd w:val="clear" w:color="auto" w:fill="auto"/>
              <w:ind w:right="96" w:firstLine="640"/>
              <w:rPr>
                <w:color w:val="000000"/>
                <w:sz w:val="28"/>
                <w:szCs w:val="28"/>
                <w:lang w:eastAsia="uk-UA" w:bidi="uk-UA"/>
              </w:rPr>
            </w:pPr>
            <w:r w:rsidRPr="008878DF">
              <w:rPr>
                <w:color w:val="000000"/>
                <w:sz w:val="28"/>
                <w:szCs w:val="28"/>
                <w:lang w:eastAsia="uk-UA" w:bidi="uk-UA"/>
              </w:rPr>
              <w:t>зменшувати природний рослинний покрив і лісистість басейну річки; руйнувати русла пересихаючих річок, струмки та водотоки; випрямляти русла річок та поглиблювати їх дно нижче природного рівня; розорювати заплавні землі та застосовувати на них засоби хімізації; надавати земельні ділянки у заплавах річок під будь-яке будівництво (крім гідротехнічних, гідрометричних та лінійних споруд), а також для садівництва та городництва;</w:t>
            </w:r>
          </w:p>
          <w:p w:rsidR="00AF126A" w:rsidRPr="008878DF" w:rsidRDefault="00AF126A" w:rsidP="00AF126A">
            <w:pPr>
              <w:pStyle w:val="20"/>
              <w:shd w:val="clear" w:color="auto" w:fill="auto"/>
              <w:ind w:right="96" w:firstLine="640"/>
              <w:rPr>
                <w:color w:val="000000"/>
                <w:sz w:val="28"/>
                <w:szCs w:val="28"/>
                <w:lang w:eastAsia="uk-UA" w:bidi="uk-UA"/>
              </w:rPr>
            </w:pPr>
            <w:r w:rsidRPr="008878DF">
              <w:rPr>
                <w:color w:val="000000"/>
                <w:sz w:val="28"/>
                <w:szCs w:val="28"/>
                <w:lang w:eastAsia="uk-UA" w:bidi="uk-UA"/>
              </w:rPr>
              <w:t>проводити осушувальні меліоративні роботи на заболочених ділянках та урочищах у верхів'ях річок;</w:t>
            </w:r>
          </w:p>
          <w:p w:rsidR="00AF126A" w:rsidRPr="008878DF" w:rsidRDefault="00AF126A" w:rsidP="00AF126A">
            <w:pPr>
              <w:pStyle w:val="20"/>
              <w:shd w:val="clear" w:color="auto" w:fill="auto"/>
              <w:ind w:right="96" w:firstLine="640"/>
              <w:rPr>
                <w:color w:val="000000"/>
                <w:sz w:val="28"/>
                <w:szCs w:val="28"/>
                <w:lang w:eastAsia="uk-UA" w:bidi="uk-UA"/>
              </w:rPr>
            </w:pPr>
            <w:r w:rsidRPr="008878DF">
              <w:rPr>
                <w:color w:val="000000"/>
                <w:sz w:val="28"/>
                <w:szCs w:val="28"/>
                <w:lang w:eastAsia="uk-UA" w:bidi="uk-UA"/>
              </w:rPr>
              <w:t>здійснювати інші роботи, що можуть негативно впливати чи впливають на водність річки і якість води в ній.</w:t>
            </w:r>
          </w:p>
        </w:tc>
        <w:tc>
          <w:tcPr>
            <w:tcW w:w="1560" w:type="dxa"/>
          </w:tcPr>
          <w:p w:rsidR="00AF126A" w:rsidRPr="00A87474" w:rsidRDefault="000C0362" w:rsidP="00AF1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Враховано</w:t>
            </w:r>
          </w:p>
        </w:tc>
        <w:tc>
          <w:tcPr>
            <w:tcW w:w="3683" w:type="dxa"/>
          </w:tcPr>
          <w:p w:rsidR="00AF126A" w:rsidRDefault="000C0362" w:rsidP="00AE3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 час здійснення проєктування визначених заходів, замовник має врахувати вимоги, встановлені статтею 80 Водного кодексу України, які передбачають о</w:t>
            </w:r>
            <w:r w:rsidRPr="000C0362">
              <w:rPr>
                <w:rFonts w:ascii="Times New Roman" w:hAnsi="Times New Roman" w:cs="Times New Roman"/>
                <w:sz w:val="28"/>
                <w:szCs w:val="28"/>
              </w:rPr>
              <w:t>собливості користування малими річками</w:t>
            </w:r>
          </w:p>
        </w:tc>
      </w:tr>
      <w:tr w:rsidR="00AF126A" w:rsidTr="00AE3D7B">
        <w:tc>
          <w:tcPr>
            <w:tcW w:w="710" w:type="dxa"/>
          </w:tcPr>
          <w:p w:rsidR="00AF126A" w:rsidRDefault="00AF126A" w:rsidP="00AF1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1702" w:type="dxa"/>
          </w:tcPr>
          <w:p w:rsidR="00AF126A" w:rsidRDefault="00AF126A" w:rsidP="00AF126A">
            <w:r w:rsidRPr="00900D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---</w:t>
            </w:r>
            <w:r w:rsidRPr="00900D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00D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»---</w:t>
            </w:r>
          </w:p>
        </w:tc>
        <w:tc>
          <w:tcPr>
            <w:tcW w:w="1701" w:type="dxa"/>
          </w:tcPr>
          <w:p w:rsidR="00AF126A" w:rsidRDefault="00AF126A" w:rsidP="00AF1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Заходи Програми, що стосуються «створення водоохоронних зон»</w:t>
            </w:r>
          </w:p>
        </w:tc>
        <w:tc>
          <w:tcPr>
            <w:tcW w:w="6237" w:type="dxa"/>
          </w:tcPr>
          <w:p w:rsidR="00AF126A" w:rsidRPr="00157059" w:rsidRDefault="00AF126A" w:rsidP="00AF126A">
            <w:pPr>
              <w:pStyle w:val="20"/>
              <w:shd w:val="clear" w:color="auto" w:fill="auto"/>
              <w:ind w:right="96" w:firstLine="640"/>
              <w:rPr>
                <w:color w:val="000000"/>
                <w:sz w:val="28"/>
                <w:szCs w:val="28"/>
                <w:lang w:eastAsia="uk-UA" w:bidi="uk-UA"/>
              </w:rPr>
            </w:pPr>
            <w:r w:rsidRPr="00157059">
              <w:rPr>
                <w:color w:val="000000"/>
                <w:sz w:val="28"/>
                <w:szCs w:val="28"/>
                <w:lang w:eastAsia="uk-UA" w:bidi="uk-UA"/>
              </w:rPr>
              <w:t>4) Щодо заходів Програми, які стосуються «створення водоохоронних зон...» (</w:t>
            </w:r>
            <w:proofErr w:type="spellStart"/>
            <w:r w:rsidRPr="00157059">
              <w:rPr>
                <w:color w:val="000000"/>
                <w:sz w:val="28"/>
                <w:szCs w:val="28"/>
                <w:lang w:eastAsia="uk-UA" w:bidi="uk-UA"/>
              </w:rPr>
              <w:t>пп</w:t>
            </w:r>
            <w:proofErr w:type="spellEnd"/>
            <w:r w:rsidRPr="00157059">
              <w:rPr>
                <w:color w:val="000000"/>
                <w:sz w:val="28"/>
                <w:szCs w:val="28"/>
                <w:lang w:eastAsia="uk-UA" w:bidi="uk-UA"/>
              </w:rPr>
              <w:t>. 1.1.8 та ін.), пропонуємо врахувати:</w:t>
            </w:r>
          </w:p>
          <w:p w:rsidR="00AF126A" w:rsidRPr="00157059" w:rsidRDefault="00AF126A" w:rsidP="00AF126A">
            <w:pPr>
              <w:pStyle w:val="20"/>
              <w:shd w:val="clear" w:color="auto" w:fill="auto"/>
              <w:ind w:right="96" w:firstLine="640"/>
              <w:rPr>
                <w:color w:val="000000"/>
                <w:sz w:val="28"/>
                <w:szCs w:val="28"/>
                <w:lang w:eastAsia="uk-UA" w:bidi="uk-UA"/>
              </w:rPr>
            </w:pPr>
            <w:r w:rsidRPr="00157059">
              <w:rPr>
                <w:color w:val="000000"/>
                <w:sz w:val="28"/>
                <w:szCs w:val="28"/>
                <w:lang w:eastAsia="uk-UA" w:bidi="uk-UA"/>
              </w:rPr>
              <w:t>недоцільність реалізації згаданих заходів на окремих ділянках територій островів, оскільки вся територія острова в силу закону має режим ПЗС та ВЗ (див. пункт 2 цього листа);</w:t>
            </w:r>
          </w:p>
          <w:p w:rsidR="00AF126A" w:rsidRPr="00157059" w:rsidRDefault="00AF126A" w:rsidP="00AF126A">
            <w:pPr>
              <w:pStyle w:val="20"/>
              <w:shd w:val="clear" w:color="auto" w:fill="auto"/>
              <w:ind w:right="96" w:firstLine="640"/>
              <w:rPr>
                <w:color w:val="000000"/>
                <w:sz w:val="28"/>
                <w:szCs w:val="28"/>
                <w:lang w:eastAsia="uk-UA" w:bidi="uk-UA"/>
              </w:rPr>
            </w:pPr>
            <w:r w:rsidRPr="00157059">
              <w:rPr>
                <w:color w:val="000000"/>
                <w:sz w:val="28"/>
                <w:szCs w:val="28"/>
                <w:lang w:eastAsia="uk-UA" w:bidi="uk-UA"/>
              </w:rPr>
              <w:t xml:space="preserve">вимоги статей 87, 88 Водного кодексу України та Порядку визначення розмірів і меж водоохоронних зон та режиму ведення господарської діяльності в них, затвердженого </w:t>
            </w:r>
            <w:r w:rsidRPr="00157059">
              <w:rPr>
                <w:color w:val="000000"/>
                <w:sz w:val="28"/>
                <w:szCs w:val="28"/>
                <w:lang w:eastAsia="uk-UA" w:bidi="uk-UA"/>
              </w:rPr>
              <w:lastRenderedPageBreak/>
              <w:t>постановою Кабінету Міністрів України від 08.05.1996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157059">
              <w:rPr>
                <w:color w:val="000000"/>
                <w:sz w:val="28"/>
                <w:szCs w:val="28"/>
                <w:lang w:eastAsia="uk-UA" w:bidi="uk-UA"/>
              </w:rPr>
              <w:t>№ 486, у тому числі, що згідно з частиною сьомою статті 88 Водного кодексу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157059">
              <w:rPr>
                <w:color w:val="000000"/>
                <w:sz w:val="28"/>
                <w:szCs w:val="28"/>
                <w:lang w:eastAsia="uk-UA" w:bidi="uk-UA"/>
              </w:rPr>
              <w:t>України:</w:t>
            </w:r>
          </w:p>
          <w:p w:rsidR="00AF126A" w:rsidRPr="00157059" w:rsidRDefault="00AF126A" w:rsidP="00AF126A">
            <w:pPr>
              <w:pStyle w:val="20"/>
              <w:shd w:val="clear" w:color="auto" w:fill="auto"/>
              <w:ind w:right="96" w:firstLine="640"/>
              <w:rPr>
                <w:color w:val="000000"/>
                <w:sz w:val="28"/>
                <w:szCs w:val="28"/>
                <w:lang w:eastAsia="uk-UA" w:bidi="uk-UA"/>
              </w:rPr>
            </w:pPr>
            <w:r w:rsidRPr="00157059">
              <w:rPr>
                <w:color w:val="000000"/>
                <w:sz w:val="28"/>
                <w:szCs w:val="28"/>
                <w:lang w:eastAsia="uk-UA" w:bidi="uk-UA"/>
              </w:rPr>
              <w:t>«Прибережні захисні смуги в межах населених пунктів встановлюються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157059">
              <w:rPr>
                <w:color w:val="000000"/>
                <w:sz w:val="28"/>
                <w:szCs w:val="28"/>
                <w:lang w:eastAsia="uk-UA" w:bidi="uk-UA"/>
              </w:rPr>
              <w:t>згідно з комплексними планами просторового розвитку територій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157059">
              <w:rPr>
                <w:color w:val="000000"/>
                <w:sz w:val="28"/>
                <w:szCs w:val="28"/>
                <w:lang w:eastAsia="uk-UA" w:bidi="uk-UA"/>
              </w:rPr>
              <w:t>територіальних громад, генеральними планами населених пунктів, а в разі їх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157059">
              <w:rPr>
                <w:color w:val="000000"/>
                <w:sz w:val="28"/>
                <w:szCs w:val="28"/>
                <w:lang w:eastAsia="uk-UA" w:bidi="uk-UA"/>
              </w:rPr>
              <w:t>відсутності або якщо зазначеною містобудівною документацією межі таких смуг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157059">
              <w:rPr>
                <w:color w:val="000000"/>
                <w:sz w:val="28"/>
                <w:szCs w:val="28"/>
                <w:lang w:eastAsia="uk-UA" w:bidi="uk-UA"/>
              </w:rPr>
              <w:t xml:space="preserve">не встановлені, вони визначаються шириною 100 метрів від </w:t>
            </w:r>
            <w:proofErr w:type="spellStart"/>
            <w:r w:rsidRPr="00157059">
              <w:rPr>
                <w:color w:val="000000"/>
                <w:sz w:val="28"/>
                <w:szCs w:val="28"/>
                <w:lang w:eastAsia="uk-UA" w:bidi="uk-UA"/>
              </w:rPr>
              <w:t>урізу</w:t>
            </w:r>
            <w:proofErr w:type="spellEnd"/>
            <w:r w:rsidRPr="00157059">
              <w:rPr>
                <w:color w:val="000000"/>
                <w:sz w:val="28"/>
                <w:szCs w:val="28"/>
                <w:lang w:eastAsia="uk-UA" w:bidi="uk-UA"/>
              </w:rPr>
              <w:t xml:space="preserve"> води морів,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157059">
              <w:rPr>
                <w:color w:val="000000"/>
                <w:sz w:val="28"/>
                <w:szCs w:val="28"/>
                <w:lang w:eastAsia="uk-UA" w:bidi="uk-UA"/>
              </w:rPr>
              <w:t>морських заток і лиманів, а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 xml:space="preserve"> для інших водних об’єктів - згі</w:t>
            </w:r>
            <w:r w:rsidRPr="00157059">
              <w:rPr>
                <w:color w:val="000000"/>
                <w:sz w:val="28"/>
                <w:szCs w:val="28"/>
                <w:lang w:eastAsia="uk-UA" w:bidi="uk-UA"/>
              </w:rPr>
              <w:t>дно з частиною другою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157059">
              <w:rPr>
                <w:color w:val="000000"/>
                <w:sz w:val="28"/>
                <w:szCs w:val="28"/>
                <w:lang w:eastAsia="uk-UA" w:bidi="uk-UA"/>
              </w:rPr>
              <w:t>цієї статті. Межі прибережних захисних смуг, пляжних зон зазначаються в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157059">
              <w:rPr>
                <w:color w:val="000000"/>
                <w:sz w:val="28"/>
                <w:szCs w:val="28"/>
                <w:lang w:eastAsia="uk-UA" w:bidi="uk-UA"/>
              </w:rPr>
              <w:t>документації із землеустрою, містобудівній документації та позначаються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157059">
              <w:rPr>
                <w:color w:val="000000"/>
                <w:sz w:val="28"/>
                <w:szCs w:val="28"/>
                <w:lang w:eastAsia="uk-UA" w:bidi="uk-UA"/>
              </w:rPr>
              <w:t>органами виконавчої влади, органами місцевого самоврядування на місцевості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157059">
              <w:rPr>
                <w:color w:val="000000"/>
                <w:sz w:val="28"/>
                <w:szCs w:val="28"/>
                <w:lang w:eastAsia="uk-UA" w:bidi="uk-UA"/>
              </w:rPr>
              <w:t>інформаційними знаками. Відомості про межі прибережних захисних смуг,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157059">
              <w:rPr>
                <w:color w:val="000000"/>
                <w:sz w:val="28"/>
                <w:szCs w:val="28"/>
                <w:lang w:eastAsia="uk-UA" w:bidi="uk-UA"/>
              </w:rPr>
              <w:t>пляжних зон вносяться до Державного земельного кадастру як відомості про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157059">
              <w:rPr>
                <w:color w:val="000000"/>
                <w:sz w:val="28"/>
                <w:szCs w:val="28"/>
                <w:lang w:eastAsia="uk-UA" w:bidi="uk-UA"/>
              </w:rPr>
              <w:t>обмеження у використанні земель»;</w:t>
            </w:r>
          </w:p>
          <w:p w:rsidR="00AF126A" w:rsidRPr="00157059" w:rsidRDefault="00AF126A" w:rsidP="00AF126A">
            <w:pPr>
              <w:pStyle w:val="20"/>
              <w:shd w:val="clear" w:color="auto" w:fill="auto"/>
              <w:ind w:right="96" w:firstLine="640"/>
              <w:rPr>
                <w:color w:val="000000"/>
                <w:sz w:val="28"/>
                <w:szCs w:val="28"/>
                <w:lang w:eastAsia="uk-UA" w:bidi="uk-UA"/>
              </w:rPr>
            </w:pPr>
            <w:r w:rsidRPr="00157059">
              <w:rPr>
                <w:color w:val="000000"/>
                <w:sz w:val="28"/>
                <w:szCs w:val="28"/>
                <w:lang w:eastAsia="uk-UA" w:bidi="uk-UA"/>
              </w:rPr>
              <w:t>норми статті 111 Земельного кодексу України, згідно з якою обмеження у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157059">
              <w:rPr>
                <w:color w:val="000000"/>
                <w:sz w:val="28"/>
                <w:szCs w:val="28"/>
                <w:lang w:eastAsia="uk-UA" w:bidi="uk-UA"/>
              </w:rPr>
              <w:t>використанні земель, безпосередньо встановлені законами та прийнятими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157059">
              <w:rPr>
                <w:color w:val="000000"/>
                <w:sz w:val="28"/>
                <w:szCs w:val="28"/>
                <w:lang w:eastAsia="uk-UA" w:bidi="uk-UA"/>
              </w:rPr>
              <w:t>відповідно до них нормативно-правовими актами, є чинними з моменту набрання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157059">
              <w:rPr>
                <w:color w:val="000000"/>
                <w:sz w:val="28"/>
                <w:szCs w:val="28"/>
                <w:lang w:eastAsia="uk-UA" w:bidi="uk-UA"/>
              </w:rPr>
              <w:t>чинності нормативно-правовими актами, якими вони були встановлені.</w:t>
            </w:r>
          </w:p>
        </w:tc>
        <w:tc>
          <w:tcPr>
            <w:tcW w:w="1560" w:type="dxa"/>
          </w:tcPr>
          <w:p w:rsidR="00AF126A" w:rsidRPr="00A87474" w:rsidRDefault="00576485" w:rsidP="00AF1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враховано</w:t>
            </w:r>
          </w:p>
        </w:tc>
        <w:tc>
          <w:tcPr>
            <w:tcW w:w="3683" w:type="dxa"/>
          </w:tcPr>
          <w:p w:rsidR="00AF126A" w:rsidRDefault="008F3EB0" w:rsidP="00AE3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Відповідно до статті 87 Водного кодексу України д</w:t>
            </w:r>
            <w:r w:rsidRPr="008F3EB0">
              <w:rPr>
                <w:rFonts w:ascii="Times New Roman" w:hAnsi="Times New Roman" w:cs="Times New Roman"/>
                <w:sz w:val="28"/>
                <w:szCs w:val="28"/>
              </w:rPr>
              <w:t xml:space="preserve">ля створення сприятливого режиму водних об'єктів, попередження їх забруднення, засмічення і вичерпання, знищення </w:t>
            </w:r>
            <w:proofErr w:type="spellStart"/>
            <w:r w:rsidRPr="008F3EB0">
              <w:rPr>
                <w:rFonts w:ascii="Times New Roman" w:hAnsi="Times New Roman" w:cs="Times New Roman"/>
                <w:sz w:val="28"/>
                <w:szCs w:val="28"/>
              </w:rPr>
              <w:t>навколоводних</w:t>
            </w:r>
            <w:proofErr w:type="spellEnd"/>
            <w:r w:rsidRPr="008F3EB0">
              <w:rPr>
                <w:rFonts w:ascii="Times New Roman" w:hAnsi="Times New Roman" w:cs="Times New Roman"/>
                <w:sz w:val="28"/>
                <w:szCs w:val="28"/>
              </w:rPr>
              <w:t xml:space="preserve"> рослин і тварин, а також зменшення коливань стоку вздовж </w:t>
            </w:r>
            <w:r w:rsidRPr="008F3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річок, морів та навколо озер, водосховищ і інших водойм встановлюються водоохоронні зони.</w:t>
            </w:r>
          </w:p>
          <w:p w:rsidR="008F3EB0" w:rsidRDefault="008F3EB0" w:rsidP="00AE3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B0">
              <w:rPr>
                <w:rFonts w:ascii="Times New Roman" w:hAnsi="Times New Roman" w:cs="Times New Roman"/>
                <w:sz w:val="28"/>
                <w:szCs w:val="28"/>
              </w:rPr>
              <w:t>Зовнішні межі водоохоронних зон визначаються за спеціально розробленими проектами.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3EB0">
              <w:rPr>
                <w:rFonts w:ascii="Times New Roman" w:hAnsi="Times New Roman" w:cs="Times New Roman"/>
                <w:sz w:val="28"/>
                <w:szCs w:val="28"/>
              </w:rPr>
              <w:t>Порядок визначення розмірів і меж водоохоронних зон та режим ведення господарської діяльності в них встановлюються Кабінетом Міністрів України.</w:t>
            </w:r>
          </w:p>
          <w:p w:rsidR="008F3EB0" w:rsidRDefault="008F3EB0" w:rsidP="00AE3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Зазначений Порядок передбачає, що м</w:t>
            </w:r>
            <w:r w:rsidRPr="008F3EB0">
              <w:rPr>
                <w:rFonts w:ascii="Times New Roman" w:hAnsi="Times New Roman" w:cs="Times New Roman"/>
                <w:sz w:val="28"/>
                <w:szCs w:val="28"/>
              </w:rPr>
              <w:t xml:space="preserve">ежі водоохоронних зон визначаються згідно з проектами землеустрою щодо організації і встановлення меж територій природно-заповідного фонду та іншого природоохоронного призначення, оздоровчого, рекреаційного, історико-культурного, лісогосподарського призначення, земель водного фонду та водоохоронних </w:t>
            </w:r>
            <w:r w:rsidRPr="008F3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зон, обмежень у використанні земель та їх </w:t>
            </w:r>
            <w:proofErr w:type="spellStart"/>
            <w:r w:rsidRPr="008F3EB0">
              <w:rPr>
                <w:rFonts w:ascii="Times New Roman" w:hAnsi="Times New Roman" w:cs="Times New Roman"/>
                <w:sz w:val="28"/>
                <w:szCs w:val="28"/>
              </w:rPr>
              <w:t>режимоутворюючих</w:t>
            </w:r>
            <w:proofErr w:type="spellEnd"/>
            <w:r w:rsidRPr="008F3EB0">
              <w:rPr>
                <w:rFonts w:ascii="Times New Roman" w:hAnsi="Times New Roman" w:cs="Times New Roman"/>
                <w:sz w:val="28"/>
                <w:szCs w:val="28"/>
              </w:rPr>
              <w:t xml:space="preserve"> об’єктів, крім випадків, встановлених Законом України “Про регулювання містобудівної діяльності”, та/або комплексними планами просторового розвитку територій територіальних громад, та/або генеральними планами населених пунктів, які розробляються в порядку, визначеному Земельним кодексом України, Законами України “Про землеустрій” і “Про регулювання містобудівної діяльності”, зазначаються в документації із землеустрою, містобудівній документації на місцевому та регіональному рівні.</w:t>
            </w:r>
          </w:p>
        </w:tc>
      </w:tr>
      <w:tr w:rsidR="00D17C64" w:rsidTr="00AE3D7B">
        <w:tc>
          <w:tcPr>
            <w:tcW w:w="710" w:type="dxa"/>
          </w:tcPr>
          <w:p w:rsidR="00D17C64" w:rsidRDefault="00D17C64" w:rsidP="00D17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1702" w:type="dxa"/>
          </w:tcPr>
          <w:p w:rsidR="00D17C64" w:rsidRDefault="00D17C64" w:rsidP="00D17C64">
            <w:r w:rsidRPr="00900D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---</w:t>
            </w:r>
            <w:r w:rsidRPr="00900D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00D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»---</w:t>
            </w:r>
          </w:p>
        </w:tc>
        <w:tc>
          <w:tcPr>
            <w:tcW w:w="1701" w:type="dxa"/>
          </w:tcPr>
          <w:p w:rsidR="00D17C64" w:rsidRDefault="00D17C64" w:rsidP="00D17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Заходи щодо непридатних до експлуатації споруд</w:t>
            </w:r>
          </w:p>
        </w:tc>
        <w:tc>
          <w:tcPr>
            <w:tcW w:w="6237" w:type="dxa"/>
          </w:tcPr>
          <w:p w:rsidR="00D17C64" w:rsidRPr="00913B8B" w:rsidRDefault="00D17C64" w:rsidP="00D17C64">
            <w:pPr>
              <w:pStyle w:val="20"/>
              <w:shd w:val="clear" w:color="auto" w:fill="auto"/>
              <w:ind w:right="96" w:firstLine="640"/>
              <w:rPr>
                <w:color w:val="000000"/>
                <w:sz w:val="28"/>
                <w:szCs w:val="28"/>
                <w:lang w:eastAsia="uk-UA" w:bidi="uk-UA"/>
              </w:rPr>
            </w:pPr>
            <w:r w:rsidRPr="00913B8B">
              <w:rPr>
                <w:color w:val="000000"/>
                <w:sz w:val="28"/>
                <w:szCs w:val="28"/>
                <w:lang w:eastAsia="uk-UA" w:bidi="uk-UA"/>
              </w:rPr>
              <w:t>5) Пропонуємо додатково передбачити у Програмі заходи щодо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913B8B">
              <w:rPr>
                <w:color w:val="000000"/>
                <w:sz w:val="28"/>
                <w:szCs w:val="28"/>
                <w:lang w:eastAsia="uk-UA" w:bidi="uk-UA"/>
              </w:rPr>
              <w:t>забезпечення дотримання статті 89 Водного кодексу України, згідно з якою не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913B8B">
              <w:rPr>
                <w:color w:val="000000"/>
                <w:sz w:val="28"/>
                <w:szCs w:val="28"/>
                <w:lang w:eastAsia="uk-UA" w:bidi="uk-UA"/>
              </w:rPr>
              <w:t>придатні для експлуатації споруди, а також ті, що не відповідають встановленим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913B8B">
              <w:rPr>
                <w:color w:val="000000"/>
                <w:sz w:val="28"/>
                <w:szCs w:val="28"/>
                <w:lang w:eastAsia="uk-UA" w:bidi="uk-UA"/>
              </w:rPr>
              <w:t>режимам господарювання, підлягають винесенню з ПЗС.</w:t>
            </w:r>
          </w:p>
        </w:tc>
        <w:tc>
          <w:tcPr>
            <w:tcW w:w="1560" w:type="dxa"/>
          </w:tcPr>
          <w:p w:rsidR="00D17C64" w:rsidRPr="00A87474" w:rsidRDefault="00946AEB" w:rsidP="00D17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враховано</w:t>
            </w:r>
          </w:p>
        </w:tc>
        <w:tc>
          <w:tcPr>
            <w:tcW w:w="3683" w:type="dxa"/>
          </w:tcPr>
          <w:p w:rsidR="00D17C64" w:rsidRDefault="008F3EB0" w:rsidP="00AE3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Відповідно до статті 89 Водного кодексу України н</w:t>
            </w:r>
            <w:r w:rsidRPr="008F3EB0">
              <w:rPr>
                <w:rFonts w:ascii="Times New Roman" w:hAnsi="Times New Roman" w:cs="Times New Roman"/>
                <w:sz w:val="28"/>
                <w:szCs w:val="28"/>
              </w:rPr>
              <w:t xml:space="preserve">е придатні для експлуатації споруди, а також ті, що не відповідають встановленим режимам господарювання, </w:t>
            </w:r>
            <w:r w:rsidRPr="008F3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підлягають винесенню з прибережних захисних смуг.</w:t>
            </w:r>
          </w:p>
          <w:p w:rsidR="008F3EB0" w:rsidRDefault="008F3EB0" w:rsidP="00AE3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метою визначення стану працездатності, а також вчинення дій, пов’язаних із винесенням їх за межі ПЗС, у випадку їх не працездатності відповідні заходи будуть передбачені в майбутньому</w:t>
            </w:r>
          </w:p>
        </w:tc>
      </w:tr>
      <w:tr w:rsidR="00D17C64" w:rsidTr="00AE3D7B">
        <w:tc>
          <w:tcPr>
            <w:tcW w:w="710" w:type="dxa"/>
          </w:tcPr>
          <w:p w:rsidR="00D17C64" w:rsidRDefault="00D17C64" w:rsidP="00D17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</w:t>
            </w:r>
          </w:p>
        </w:tc>
        <w:tc>
          <w:tcPr>
            <w:tcW w:w="1702" w:type="dxa"/>
          </w:tcPr>
          <w:p w:rsidR="00D17C64" w:rsidRDefault="00D17C64" w:rsidP="00D17C64">
            <w:r w:rsidRPr="00900D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---</w:t>
            </w:r>
            <w:r w:rsidRPr="00900D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00D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»---</w:t>
            </w:r>
          </w:p>
        </w:tc>
        <w:tc>
          <w:tcPr>
            <w:tcW w:w="1701" w:type="dxa"/>
          </w:tcPr>
          <w:p w:rsidR="00D17C64" w:rsidRDefault="00D17C64" w:rsidP="00D17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Заходи </w:t>
            </w:r>
            <w:r w:rsidRPr="00913B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Програми: «розроблення документації із землеустрою для</w:t>
            </w:r>
            <w:r w:rsidRPr="00913B8B"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913B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територій та об'єктів природно-заповідного фонду» та «розробка</w:t>
            </w:r>
            <w:r w:rsidRPr="00913B8B"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913B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проектів землеустрою щодо відведення земельних ділянок об'єктів природно-</w:t>
            </w:r>
            <w:r w:rsidRPr="00913B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lastRenderedPageBreak/>
              <w:t>заповідного фонду (парків та скверів) міста Києва»</w:t>
            </w:r>
          </w:p>
        </w:tc>
        <w:tc>
          <w:tcPr>
            <w:tcW w:w="6237" w:type="dxa"/>
          </w:tcPr>
          <w:p w:rsidR="00D17C64" w:rsidRPr="00913B8B" w:rsidRDefault="00D17C64" w:rsidP="00D17C64">
            <w:pPr>
              <w:pStyle w:val="20"/>
              <w:shd w:val="clear" w:color="auto" w:fill="auto"/>
              <w:tabs>
                <w:tab w:val="left" w:pos="889"/>
              </w:tabs>
              <w:ind w:firstLine="631"/>
              <w:rPr>
                <w:sz w:val="28"/>
                <w:szCs w:val="28"/>
              </w:rPr>
            </w:pPr>
            <w:r w:rsidRPr="00913B8B">
              <w:rPr>
                <w:sz w:val="28"/>
                <w:szCs w:val="28"/>
              </w:rPr>
              <w:lastRenderedPageBreak/>
              <w:t xml:space="preserve">6) </w:t>
            </w:r>
            <w:r w:rsidRPr="00913B8B">
              <w:rPr>
                <w:color w:val="000000"/>
                <w:sz w:val="28"/>
                <w:szCs w:val="28"/>
                <w:lang w:eastAsia="uk-UA" w:bidi="uk-UA"/>
              </w:rPr>
              <w:t>Щодо заходів Програми: «розроблення документації із землеустрою для територій та об'єктів природно-заповідного фонду» (пп.1.1.15) та «розробка проектів землеустрою щодо відведення земельних ділянок об'єктів природно-заповідного фонду (парків та скверів) міста Києва» (</w:t>
            </w:r>
            <w:proofErr w:type="spellStart"/>
            <w:r w:rsidRPr="00913B8B">
              <w:rPr>
                <w:color w:val="000000"/>
                <w:sz w:val="28"/>
                <w:szCs w:val="28"/>
                <w:lang w:eastAsia="uk-UA" w:bidi="uk-UA"/>
              </w:rPr>
              <w:t>пп</w:t>
            </w:r>
            <w:proofErr w:type="spellEnd"/>
            <w:r w:rsidRPr="00913B8B">
              <w:rPr>
                <w:color w:val="000000"/>
                <w:sz w:val="28"/>
                <w:szCs w:val="28"/>
                <w:lang w:eastAsia="uk-UA" w:bidi="uk-UA"/>
              </w:rPr>
              <w:t>. 1.1.16) пропонуємо:</w:t>
            </w:r>
          </w:p>
          <w:p w:rsidR="00D17C64" w:rsidRPr="00913B8B" w:rsidRDefault="00D17C64" w:rsidP="00D17C64">
            <w:pPr>
              <w:pStyle w:val="20"/>
              <w:shd w:val="clear" w:color="auto" w:fill="auto"/>
              <w:ind w:firstLine="620"/>
              <w:rPr>
                <w:color w:val="000000"/>
                <w:sz w:val="28"/>
                <w:szCs w:val="28"/>
                <w:lang w:eastAsia="uk-UA" w:bidi="uk-UA"/>
              </w:rPr>
            </w:pPr>
            <w:r w:rsidRPr="00913B8B">
              <w:rPr>
                <w:color w:val="000000"/>
                <w:sz w:val="28"/>
                <w:szCs w:val="28"/>
                <w:lang w:eastAsia="uk-UA" w:bidi="uk-UA"/>
              </w:rPr>
              <w:t>врахувати, що проекти землеустрою щодо відведення земельних, як і проекти землеустрою щодо організації і встановлення меж територій природно-заповідного фонду та іншого природоохоронного призначення, оздоровчого,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913B8B">
              <w:rPr>
                <w:color w:val="000000"/>
                <w:sz w:val="28"/>
                <w:szCs w:val="28"/>
                <w:lang w:eastAsia="uk-UA" w:bidi="uk-UA"/>
              </w:rPr>
              <w:t>рекреаційного, історико-культурного, лісогосподарського призначення, земель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913B8B">
              <w:rPr>
                <w:color w:val="000000"/>
                <w:sz w:val="28"/>
                <w:szCs w:val="28"/>
                <w:lang w:eastAsia="uk-UA" w:bidi="uk-UA"/>
              </w:rPr>
              <w:t>водного фонду та водоохоронних зон, обмежень у використанні земель та їх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913B8B">
              <w:rPr>
                <w:color w:val="000000"/>
                <w:sz w:val="28"/>
                <w:szCs w:val="28"/>
                <w:lang w:eastAsia="uk-UA" w:bidi="uk-UA"/>
              </w:rPr>
              <w:t>режимоутворюючих</w:t>
            </w:r>
            <w:proofErr w:type="spellEnd"/>
            <w:r w:rsidRPr="00913B8B">
              <w:rPr>
                <w:color w:val="000000"/>
                <w:sz w:val="28"/>
                <w:szCs w:val="28"/>
                <w:lang w:eastAsia="uk-UA" w:bidi="uk-UA"/>
              </w:rPr>
              <w:t xml:space="preserve"> об’єктів, - є документацією із землеустрою, а тому з метою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913B8B">
              <w:rPr>
                <w:color w:val="000000"/>
                <w:sz w:val="28"/>
                <w:szCs w:val="28"/>
                <w:lang w:eastAsia="uk-UA" w:bidi="uk-UA"/>
              </w:rPr>
              <w:t>уникнення дублювання згадані заходи слід або об’єднати, або навести у заході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913B8B">
              <w:rPr>
                <w:color w:val="000000"/>
                <w:sz w:val="28"/>
                <w:szCs w:val="28"/>
                <w:lang w:eastAsia="uk-UA" w:bidi="uk-UA"/>
              </w:rPr>
              <w:t xml:space="preserve">за </w:t>
            </w:r>
            <w:proofErr w:type="spellStart"/>
            <w:r w:rsidRPr="00913B8B">
              <w:rPr>
                <w:color w:val="000000"/>
                <w:sz w:val="28"/>
                <w:szCs w:val="28"/>
                <w:lang w:eastAsia="uk-UA" w:bidi="uk-UA"/>
              </w:rPr>
              <w:t>пп</w:t>
            </w:r>
            <w:proofErr w:type="spellEnd"/>
            <w:r w:rsidRPr="00913B8B">
              <w:rPr>
                <w:color w:val="000000"/>
                <w:sz w:val="28"/>
                <w:szCs w:val="28"/>
                <w:lang w:eastAsia="uk-UA" w:bidi="uk-UA"/>
              </w:rPr>
              <w:t>. 1.1.15 конкретну назву виду документації із землеустрою, яку передбачається розробити (з урахуванням статті 47 та ін. Закону України «Про землеустрій»);</w:t>
            </w:r>
          </w:p>
          <w:p w:rsidR="00D17C64" w:rsidRPr="00913B8B" w:rsidRDefault="00D17C64" w:rsidP="00D17C64">
            <w:pPr>
              <w:pStyle w:val="20"/>
              <w:shd w:val="clear" w:color="auto" w:fill="auto"/>
              <w:ind w:firstLine="560"/>
              <w:rPr>
                <w:sz w:val="28"/>
                <w:szCs w:val="28"/>
              </w:rPr>
            </w:pPr>
            <w:r w:rsidRPr="00913B8B">
              <w:rPr>
                <w:color w:val="000000"/>
                <w:sz w:val="28"/>
                <w:szCs w:val="28"/>
                <w:lang w:eastAsia="uk-UA" w:bidi="uk-UA"/>
              </w:rPr>
              <w:lastRenderedPageBreak/>
              <w:t>навести у підпунктах 1.1.15, 1.1.16, 1.1.17, 1.1.18 Програми назви територій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913B8B">
              <w:rPr>
                <w:color w:val="000000"/>
                <w:sz w:val="28"/>
                <w:szCs w:val="28"/>
                <w:lang w:eastAsia="uk-UA" w:bidi="uk-UA"/>
              </w:rPr>
              <w:t>та об’єктів природно-заповідного фонду, яких стосуються згадані заходи (за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913B8B">
              <w:rPr>
                <w:color w:val="000000"/>
                <w:sz w:val="28"/>
                <w:szCs w:val="28"/>
                <w:lang w:eastAsia="uk-UA" w:bidi="uk-UA"/>
              </w:rPr>
              <w:t>аналогією з підпунктом 1.1.14 («розробка Проекту організації території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913B8B">
              <w:rPr>
                <w:color w:val="000000"/>
                <w:sz w:val="28"/>
                <w:szCs w:val="28"/>
                <w:lang w:eastAsia="uk-UA" w:bidi="uk-UA"/>
              </w:rPr>
              <w:t>регіонального ландшафтного парку «Парк Партизанської слави», охорони,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913B8B">
              <w:rPr>
                <w:color w:val="000000"/>
                <w:sz w:val="28"/>
                <w:szCs w:val="28"/>
                <w:lang w:eastAsia="uk-UA" w:bidi="uk-UA"/>
              </w:rPr>
              <w:t>відтворення та рекреаційного використання його природних комплексів та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913B8B">
              <w:rPr>
                <w:color w:val="000000"/>
                <w:sz w:val="28"/>
                <w:szCs w:val="28"/>
                <w:lang w:eastAsia="uk-UA" w:bidi="uk-UA"/>
              </w:rPr>
              <w:t>об’єктів»);</w:t>
            </w:r>
          </w:p>
          <w:p w:rsidR="00D17C64" w:rsidRPr="00913B8B" w:rsidRDefault="00D17C64" w:rsidP="00D17C64">
            <w:pPr>
              <w:pStyle w:val="20"/>
              <w:shd w:val="clear" w:color="auto" w:fill="auto"/>
              <w:ind w:firstLine="603"/>
              <w:rPr>
                <w:color w:val="000000"/>
                <w:sz w:val="28"/>
                <w:szCs w:val="28"/>
                <w:lang w:eastAsia="uk-UA" w:bidi="uk-UA"/>
              </w:rPr>
            </w:pPr>
            <w:r w:rsidRPr="00913B8B">
              <w:rPr>
                <w:color w:val="000000"/>
                <w:sz w:val="28"/>
                <w:szCs w:val="28"/>
                <w:lang w:eastAsia="uk-UA" w:bidi="uk-UA"/>
              </w:rPr>
              <w:t xml:space="preserve">опрацювати збільшення кількості територій та об’єктів природно-заповідного фонду, для яких має бути здійснено заходи за підпунктами 1.1.15, 1.1.16, 1.1.17, 1.1.18 Програми (розроблено відповідну (документацію тощо), у тому числі врахувавши відповідні потреби щодо регіонального ландшафтного парку «Дніпровські острови» </w:t>
            </w:r>
          </w:p>
          <w:p w:rsidR="00D17C64" w:rsidRPr="00913B8B" w:rsidRDefault="00D17C64" w:rsidP="00D17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17C64" w:rsidRPr="00A87474" w:rsidRDefault="00105CF4" w:rsidP="00D17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враховано</w:t>
            </w:r>
          </w:p>
        </w:tc>
        <w:tc>
          <w:tcPr>
            <w:tcW w:w="3683" w:type="dxa"/>
          </w:tcPr>
          <w:p w:rsidR="00EE3618" w:rsidRPr="00EE3618" w:rsidRDefault="00EE3618" w:rsidP="00EE3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618">
              <w:rPr>
                <w:rFonts w:ascii="Times New Roman" w:hAnsi="Times New Roman" w:cs="Times New Roman"/>
                <w:sz w:val="28"/>
                <w:szCs w:val="28"/>
              </w:rPr>
              <w:t xml:space="preserve">Перелік видів документації із землеустрою визначено статтею 25  Закону України «Про землеустрій». </w:t>
            </w:r>
          </w:p>
          <w:p w:rsidR="00EE3618" w:rsidRPr="00EE3618" w:rsidRDefault="00EE3618" w:rsidP="00EE361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618">
              <w:rPr>
                <w:rFonts w:ascii="Times New Roman" w:hAnsi="Times New Roman" w:cs="Times New Roman"/>
                <w:sz w:val="28"/>
                <w:szCs w:val="28"/>
              </w:rPr>
              <w:t>При формуванні заходів Програми враховано наступні види документації із землеустрою:</w:t>
            </w:r>
          </w:p>
          <w:p w:rsidR="00EE3618" w:rsidRPr="00EE3618" w:rsidRDefault="00EE3618" w:rsidP="00EE3618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618">
              <w:rPr>
                <w:rFonts w:ascii="Times New Roman" w:hAnsi="Times New Roman" w:cs="Times New Roman"/>
                <w:sz w:val="28"/>
                <w:szCs w:val="28"/>
              </w:rPr>
              <w:t xml:space="preserve">для заходу «розроблення документації із землеустрою для територій та об'єктів природно-заповідного фонду» – </w:t>
            </w:r>
            <w:r w:rsidRPr="00EE36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проекти землеустрою щодо організації і встановлення меж територій природно-заповідного фонду</w:t>
            </w:r>
            <w:r w:rsidRPr="00EE3618">
              <w:rPr>
                <w:rFonts w:ascii="Times New Roman" w:hAnsi="Times New Roman" w:cs="Times New Roman"/>
                <w:sz w:val="28"/>
                <w:szCs w:val="28"/>
              </w:rPr>
              <w:t xml:space="preserve"> та іншого природоохоронного призначення, оздоровчого, рекреаційного, історико-культурного, </w:t>
            </w:r>
            <w:r w:rsidRPr="00EE36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лісогосподарського призначення, земель водного фонду та водоохоронних зон, обмежень у використанні земель та їх </w:t>
            </w:r>
            <w:proofErr w:type="spellStart"/>
            <w:r w:rsidRPr="00EE3618">
              <w:rPr>
                <w:rFonts w:ascii="Times New Roman" w:hAnsi="Times New Roman" w:cs="Times New Roman"/>
                <w:sz w:val="28"/>
                <w:szCs w:val="28"/>
              </w:rPr>
              <w:t>режимоутворюючих</w:t>
            </w:r>
            <w:proofErr w:type="spellEnd"/>
            <w:r w:rsidRPr="00EE3618">
              <w:rPr>
                <w:rFonts w:ascii="Times New Roman" w:hAnsi="Times New Roman" w:cs="Times New Roman"/>
                <w:sz w:val="28"/>
                <w:szCs w:val="28"/>
              </w:rPr>
              <w:t xml:space="preserve"> об’єктів;</w:t>
            </w:r>
          </w:p>
          <w:p w:rsidR="00EE3618" w:rsidRPr="00EE3618" w:rsidRDefault="00EE3618" w:rsidP="00EE3618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618">
              <w:rPr>
                <w:rFonts w:ascii="Times New Roman" w:hAnsi="Times New Roman" w:cs="Times New Roman"/>
                <w:sz w:val="28"/>
                <w:szCs w:val="28"/>
              </w:rPr>
              <w:t xml:space="preserve">для заходу «розробка проектів землеустрою щодо відведення земельних ділянок об'єктів природно-заповідного фонду (парків та скверів) міста Києва» – </w:t>
            </w:r>
            <w:r w:rsidRPr="00EE36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проекти землеустрою щодо відведення земельних ділянок</w:t>
            </w:r>
            <w:r w:rsidRPr="00EE36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3618" w:rsidRPr="00EE3618" w:rsidRDefault="00EE3618" w:rsidP="00EE361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618">
              <w:rPr>
                <w:rFonts w:ascii="Times New Roman" w:hAnsi="Times New Roman" w:cs="Times New Roman"/>
                <w:sz w:val="28"/>
                <w:szCs w:val="28"/>
              </w:rPr>
              <w:t xml:space="preserve">Міністерством захисту довкілля та природних ресурсів України запропоновано об’єднати вказані заходи в один з урахуванням статті 47 Закону України «Про землеустрій», яка застосовується виключно до такого виду документації із землеустрою, як – проекти землеустрою щодо організації і встановлення меж територій природно-заповідного фонду та іншого </w:t>
            </w:r>
            <w:r w:rsidRPr="00EE36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природоохоронного призначення, оздоровчого, рекреаційного, історико-культурного, лісогосподарського призначення, земель водного фонду та водоохоронних зон, обмежень у використанні земель та їх </w:t>
            </w:r>
            <w:proofErr w:type="spellStart"/>
            <w:r w:rsidRPr="00EE3618">
              <w:rPr>
                <w:rFonts w:ascii="Times New Roman" w:hAnsi="Times New Roman" w:cs="Times New Roman"/>
                <w:sz w:val="28"/>
                <w:szCs w:val="28"/>
              </w:rPr>
              <w:t>режимоутворюючих</w:t>
            </w:r>
            <w:proofErr w:type="spellEnd"/>
            <w:r w:rsidRPr="00EE3618">
              <w:rPr>
                <w:rFonts w:ascii="Times New Roman" w:hAnsi="Times New Roman" w:cs="Times New Roman"/>
                <w:sz w:val="28"/>
                <w:szCs w:val="28"/>
              </w:rPr>
              <w:t xml:space="preserve"> об’єктів.</w:t>
            </w:r>
          </w:p>
          <w:p w:rsidR="00EE3618" w:rsidRPr="00EE3618" w:rsidRDefault="00EE3618" w:rsidP="00EE361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618">
              <w:rPr>
                <w:rFonts w:ascii="Times New Roman" w:hAnsi="Times New Roman" w:cs="Times New Roman"/>
                <w:sz w:val="28"/>
                <w:szCs w:val="28"/>
              </w:rPr>
              <w:t>Враховуючи те, що захід «розробка проектів землеустрою щодо відведення земельних ділянок об'єктів природно-заповідного фонду (парків та скверів) міста Києва» передбачає розробку іншого виду документації із землеустрою, Управління не враховує дану пропозицію.</w:t>
            </w:r>
          </w:p>
          <w:p w:rsidR="00D17C64" w:rsidRPr="00EE3618" w:rsidRDefault="00EE3618" w:rsidP="00EE361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618">
              <w:rPr>
                <w:rFonts w:ascii="Times New Roman" w:hAnsi="Times New Roman" w:cs="Times New Roman"/>
                <w:sz w:val="28"/>
                <w:szCs w:val="28"/>
              </w:rPr>
              <w:t xml:space="preserve">Список об’єктів для реалізації даних заходів буде щорічно формуватися за результатами обсягу доведеного фінансування з урахуванням наявності необхідної документації та вихідних даних для підготовки технічних </w:t>
            </w:r>
            <w:r w:rsidRPr="00EE36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завдань на розроблення відповідної документації із землеустрою.</w:t>
            </w:r>
          </w:p>
        </w:tc>
      </w:tr>
      <w:tr w:rsidR="00D97782" w:rsidTr="00AE3D7B">
        <w:trPr>
          <w:trHeight w:val="5283"/>
        </w:trPr>
        <w:tc>
          <w:tcPr>
            <w:tcW w:w="710" w:type="dxa"/>
          </w:tcPr>
          <w:p w:rsidR="00D97782" w:rsidRDefault="00D97782" w:rsidP="00D9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</w:t>
            </w:r>
          </w:p>
        </w:tc>
        <w:tc>
          <w:tcPr>
            <w:tcW w:w="1702" w:type="dxa"/>
          </w:tcPr>
          <w:p w:rsidR="00D97782" w:rsidRDefault="00D97782" w:rsidP="00D97782">
            <w:r w:rsidRPr="00900D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---</w:t>
            </w:r>
            <w:r w:rsidRPr="00900D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00D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»---</w:t>
            </w:r>
          </w:p>
        </w:tc>
        <w:tc>
          <w:tcPr>
            <w:tcW w:w="1701" w:type="dxa"/>
          </w:tcPr>
          <w:p w:rsidR="00D97782" w:rsidRDefault="00D97782" w:rsidP="00D9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Індикатори програми</w:t>
            </w:r>
          </w:p>
        </w:tc>
        <w:tc>
          <w:tcPr>
            <w:tcW w:w="6237" w:type="dxa"/>
          </w:tcPr>
          <w:p w:rsidR="00D97782" w:rsidRPr="00913B8B" w:rsidRDefault="00D97782" w:rsidP="00D97782">
            <w:pPr>
              <w:pStyle w:val="20"/>
              <w:shd w:val="clear" w:color="auto" w:fill="auto"/>
              <w:ind w:firstLine="461"/>
              <w:rPr>
                <w:color w:val="000000"/>
                <w:sz w:val="28"/>
                <w:szCs w:val="28"/>
                <w:lang w:eastAsia="uk-UA" w:bidi="uk-UA"/>
              </w:rPr>
            </w:pPr>
            <w:bookmarkStart w:id="0" w:name="bookmark0"/>
            <w:r w:rsidRPr="00913B8B">
              <w:rPr>
                <w:color w:val="000000"/>
                <w:sz w:val="28"/>
                <w:szCs w:val="28"/>
                <w:lang w:eastAsia="uk-UA" w:bidi="uk-UA"/>
              </w:rPr>
              <w:t>Звертаємо увагу на суперечливу інформацію у Звіті, а саме;</w:t>
            </w:r>
            <w:bookmarkEnd w:id="0"/>
          </w:p>
          <w:p w:rsidR="00D97782" w:rsidRPr="00913B8B" w:rsidRDefault="00D97782" w:rsidP="00D97782">
            <w:pPr>
              <w:pStyle w:val="20"/>
              <w:shd w:val="clear" w:color="auto" w:fill="auto"/>
              <w:rPr>
                <w:color w:val="000000"/>
                <w:sz w:val="28"/>
                <w:szCs w:val="28"/>
                <w:lang w:eastAsia="uk-UA" w:bidi="uk-UA"/>
              </w:rPr>
            </w:pPr>
            <w:r w:rsidRPr="00913B8B">
              <w:rPr>
                <w:color w:val="000000"/>
                <w:sz w:val="28"/>
                <w:szCs w:val="28"/>
                <w:lang w:eastAsia="uk-UA" w:bidi="uk-UA"/>
              </w:rPr>
              <w:t xml:space="preserve">На </w:t>
            </w:r>
            <w:proofErr w:type="spellStart"/>
            <w:r w:rsidRPr="00913B8B">
              <w:rPr>
                <w:color w:val="000000"/>
                <w:sz w:val="28"/>
                <w:szCs w:val="28"/>
                <w:lang w:eastAsia="uk-UA" w:bidi="uk-UA"/>
              </w:rPr>
              <w:t>стор</w:t>
            </w:r>
            <w:proofErr w:type="spellEnd"/>
            <w:r w:rsidRPr="00913B8B">
              <w:rPr>
                <w:color w:val="000000"/>
                <w:sz w:val="28"/>
                <w:szCs w:val="28"/>
                <w:lang w:eastAsia="uk-UA" w:bidi="uk-UA"/>
              </w:rPr>
              <w:t>. 26 вказано, що «площа об’єктів природно-заповідного фонду у</w:t>
            </w:r>
            <w:r w:rsidRPr="00913B8B">
              <w:rPr>
                <w:sz w:val="28"/>
                <w:szCs w:val="28"/>
              </w:rPr>
              <w:t xml:space="preserve"> </w:t>
            </w:r>
            <w:r w:rsidRPr="00913B8B">
              <w:rPr>
                <w:color w:val="000000"/>
                <w:sz w:val="28"/>
                <w:szCs w:val="28"/>
                <w:lang w:eastAsia="uk-UA" w:bidi="uk-UA"/>
              </w:rPr>
              <w:t>2020 році становила більше 21,12 тис. га або 25,26% від загальної площі міста Києва»;</w:t>
            </w:r>
          </w:p>
          <w:p w:rsidR="00D97782" w:rsidRPr="00913B8B" w:rsidRDefault="00D97782" w:rsidP="00D97782">
            <w:pPr>
              <w:pStyle w:val="a6"/>
              <w:shd w:val="clear" w:color="auto" w:fill="auto"/>
              <w:spacing w:line="260" w:lineRule="exact"/>
              <w:jc w:val="both"/>
              <w:rPr>
                <w:sz w:val="28"/>
                <w:szCs w:val="28"/>
              </w:rPr>
            </w:pPr>
            <w:r w:rsidRPr="00913B8B">
              <w:rPr>
                <w:color w:val="000000"/>
                <w:sz w:val="28"/>
                <w:szCs w:val="28"/>
                <w:lang w:eastAsia="uk-UA" w:bidi="uk-UA"/>
              </w:rPr>
              <w:t xml:space="preserve">а на </w:t>
            </w:r>
            <w:proofErr w:type="spellStart"/>
            <w:r w:rsidRPr="00913B8B">
              <w:rPr>
                <w:color w:val="000000"/>
                <w:sz w:val="28"/>
                <w:szCs w:val="28"/>
                <w:lang w:eastAsia="uk-UA" w:bidi="uk-UA"/>
              </w:rPr>
              <w:t>стор</w:t>
            </w:r>
            <w:proofErr w:type="spellEnd"/>
            <w:r w:rsidRPr="00913B8B">
              <w:rPr>
                <w:color w:val="000000"/>
                <w:sz w:val="28"/>
                <w:szCs w:val="28"/>
                <w:lang w:eastAsia="uk-UA" w:bidi="uk-UA"/>
              </w:rPr>
              <w:t>. 34 в табл. 9.1 «Індикатори Програми» передбачений відповідний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913B8B">
              <w:rPr>
                <w:sz w:val="28"/>
                <w:szCs w:val="28"/>
              </w:rPr>
              <w:t xml:space="preserve"> індикатор із значно меншими показниками:</w:t>
            </w:r>
          </w:p>
          <w:tbl>
            <w:tblPr>
              <w:tblW w:w="5997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90"/>
              <w:gridCol w:w="1581"/>
              <w:gridCol w:w="567"/>
              <w:gridCol w:w="424"/>
              <w:gridCol w:w="710"/>
              <w:gridCol w:w="709"/>
              <w:gridCol w:w="708"/>
              <w:gridCol w:w="350"/>
              <w:gridCol w:w="358"/>
            </w:tblGrid>
            <w:tr w:rsidR="00D97782" w:rsidRPr="00913B8B" w:rsidTr="001E2558">
              <w:trPr>
                <w:trHeight w:hRule="exact" w:val="1378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97782" w:rsidRPr="00913B8B" w:rsidRDefault="00D97782" w:rsidP="00D97782">
                  <w:pPr>
                    <w:pStyle w:val="20"/>
                    <w:shd w:val="clear" w:color="auto" w:fill="auto"/>
                    <w:spacing w:after="60" w:line="260" w:lineRule="exact"/>
                    <w:jc w:val="left"/>
                    <w:rPr>
                      <w:sz w:val="28"/>
                      <w:szCs w:val="28"/>
                    </w:rPr>
                  </w:pPr>
                  <w:r w:rsidRPr="00913B8B">
                    <w:rPr>
                      <w:sz w:val="28"/>
                      <w:szCs w:val="28"/>
                    </w:rPr>
                    <w:t>№</w:t>
                  </w:r>
                </w:p>
                <w:p w:rsidR="00D97782" w:rsidRPr="00913B8B" w:rsidRDefault="00D97782" w:rsidP="00D97782">
                  <w:pPr>
                    <w:pStyle w:val="20"/>
                    <w:shd w:val="clear" w:color="auto" w:fill="auto"/>
                    <w:spacing w:before="60" w:line="260" w:lineRule="exact"/>
                    <w:jc w:val="left"/>
                    <w:rPr>
                      <w:sz w:val="28"/>
                      <w:szCs w:val="28"/>
                    </w:rPr>
                  </w:pPr>
                  <w:r w:rsidRPr="00913B8B">
                    <w:rPr>
                      <w:sz w:val="28"/>
                      <w:szCs w:val="28"/>
                    </w:rPr>
                    <w:t>з/п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97782" w:rsidRPr="00913B8B" w:rsidRDefault="00D97782" w:rsidP="00D97782">
                  <w:pPr>
                    <w:pStyle w:val="20"/>
                    <w:shd w:val="clear" w:color="auto" w:fill="auto"/>
                    <w:spacing w:line="260" w:lineRule="exact"/>
                    <w:jc w:val="center"/>
                    <w:rPr>
                      <w:sz w:val="28"/>
                      <w:szCs w:val="28"/>
                    </w:rPr>
                  </w:pPr>
                  <w:r w:rsidRPr="00913B8B">
                    <w:rPr>
                      <w:sz w:val="28"/>
                      <w:szCs w:val="28"/>
                    </w:rPr>
                    <w:t>Індикатори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97782" w:rsidRPr="00913B8B" w:rsidRDefault="00D97782" w:rsidP="001E2558">
                  <w:pPr>
                    <w:pStyle w:val="20"/>
                    <w:shd w:val="clear" w:color="auto" w:fill="auto"/>
                    <w:spacing w:after="60" w:line="260" w:lineRule="exact"/>
                    <w:jc w:val="center"/>
                    <w:rPr>
                      <w:sz w:val="28"/>
                      <w:szCs w:val="28"/>
                    </w:rPr>
                  </w:pPr>
                  <w:r w:rsidRPr="00913B8B">
                    <w:rPr>
                      <w:sz w:val="28"/>
                      <w:szCs w:val="28"/>
                    </w:rPr>
                    <w:t>Одиниці</w:t>
                  </w:r>
                  <w:r w:rsidR="001E2558">
                    <w:rPr>
                      <w:sz w:val="28"/>
                      <w:szCs w:val="28"/>
                    </w:rPr>
                    <w:t xml:space="preserve"> </w:t>
                  </w:r>
                  <w:r w:rsidRPr="00913B8B">
                    <w:rPr>
                      <w:sz w:val="28"/>
                      <w:szCs w:val="28"/>
                    </w:rPr>
                    <w:t>виміру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97782" w:rsidRPr="00913B8B" w:rsidRDefault="00D97782" w:rsidP="001E2558">
                  <w:pPr>
                    <w:pStyle w:val="20"/>
                    <w:shd w:val="clear" w:color="auto" w:fill="auto"/>
                    <w:spacing w:after="60" w:line="260" w:lineRule="exact"/>
                    <w:jc w:val="left"/>
                    <w:rPr>
                      <w:sz w:val="28"/>
                      <w:szCs w:val="28"/>
                    </w:rPr>
                  </w:pPr>
                  <w:r w:rsidRPr="00913B8B">
                    <w:rPr>
                      <w:sz w:val="28"/>
                      <w:szCs w:val="28"/>
                    </w:rPr>
                    <w:t>2022</w:t>
                  </w:r>
                  <w:r w:rsidR="001E2558">
                    <w:rPr>
                      <w:sz w:val="28"/>
                      <w:szCs w:val="28"/>
                    </w:rPr>
                    <w:t xml:space="preserve"> </w:t>
                  </w:r>
                  <w:r w:rsidRPr="00913B8B">
                    <w:rPr>
                      <w:sz w:val="28"/>
                      <w:szCs w:val="28"/>
                    </w:rPr>
                    <w:t>рік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97782" w:rsidRPr="00913B8B" w:rsidRDefault="00D97782" w:rsidP="001E2558">
                  <w:pPr>
                    <w:pStyle w:val="20"/>
                    <w:shd w:val="clear" w:color="auto" w:fill="auto"/>
                    <w:spacing w:after="60" w:line="260" w:lineRule="exact"/>
                    <w:ind w:left="-10"/>
                    <w:jc w:val="left"/>
                    <w:rPr>
                      <w:sz w:val="28"/>
                      <w:szCs w:val="28"/>
                    </w:rPr>
                  </w:pPr>
                  <w:r w:rsidRPr="00913B8B">
                    <w:rPr>
                      <w:sz w:val="28"/>
                      <w:szCs w:val="28"/>
                    </w:rPr>
                    <w:t>2023</w:t>
                  </w:r>
                  <w:r w:rsidR="001E2558">
                    <w:rPr>
                      <w:sz w:val="28"/>
                      <w:szCs w:val="28"/>
                    </w:rPr>
                    <w:t xml:space="preserve"> </w:t>
                  </w:r>
                  <w:r w:rsidRPr="00913B8B">
                    <w:rPr>
                      <w:sz w:val="28"/>
                      <w:szCs w:val="28"/>
                    </w:rPr>
                    <w:t>рік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97782" w:rsidRPr="00913B8B" w:rsidRDefault="00D97782" w:rsidP="001E2558">
                  <w:pPr>
                    <w:pStyle w:val="20"/>
                    <w:shd w:val="clear" w:color="auto" w:fill="auto"/>
                    <w:spacing w:after="60" w:line="260" w:lineRule="exact"/>
                    <w:ind w:left="-10" w:firstLine="10"/>
                    <w:jc w:val="left"/>
                    <w:rPr>
                      <w:sz w:val="28"/>
                      <w:szCs w:val="28"/>
                    </w:rPr>
                  </w:pPr>
                  <w:r w:rsidRPr="00913B8B">
                    <w:rPr>
                      <w:sz w:val="28"/>
                      <w:szCs w:val="28"/>
                    </w:rPr>
                    <w:t>2024</w:t>
                  </w:r>
                  <w:r w:rsidR="001E2558">
                    <w:rPr>
                      <w:sz w:val="28"/>
                      <w:szCs w:val="28"/>
                    </w:rPr>
                    <w:t xml:space="preserve"> </w:t>
                  </w:r>
                  <w:r w:rsidRPr="00913B8B">
                    <w:rPr>
                      <w:sz w:val="28"/>
                      <w:szCs w:val="28"/>
                    </w:rPr>
                    <w:t>рік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97782" w:rsidRPr="00913B8B" w:rsidRDefault="00D97782" w:rsidP="00D97782">
                  <w:pPr>
                    <w:pStyle w:val="20"/>
                    <w:shd w:val="clear" w:color="auto" w:fill="auto"/>
                    <w:spacing w:after="60" w:line="260" w:lineRule="exact"/>
                    <w:jc w:val="center"/>
                    <w:rPr>
                      <w:sz w:val="28"/>
                      <w:szCs w:val="28"/>
                    </w:rPr>
                  </w:pPr>
                  <w:r w:rsidRPr="00913B8B">
                    <w:rPr>
                      <w:sz w:val="28"/>
                      <w:szCs w:val="28"/>
                    </w:rPr>
                    <w:t>2025</w:t>
                  </w:r>
                </w:p>
                <w:p w:rsidR="00D97782" w:rsidRPr="00913B8B" w:rsidRDefault="00D97782" w:rsidP="00D97782">
                  <w:pPr>
                    <w:pStyle w:val="20"/>
                    <w:shd w:val="clear" w:color="auto" w:fill="auto"/>
                    <w:spacing w:before="60" w:line="260" w:lineRule="exact"/>
                    <w:jc w:val="center"/>
                    <w:rPr>
                      <w:sz w:val="28"/>
                      <w:szCs w:val="28"/>
                    </w:rPr>
                  </w:pPr>
                  <w:r w:rsidRPr="00913B8B">
                    <w:rPr>
                      <w:sz w:val="28"/>
                      <w:szCs w:val="28"/>
                    </w:rPr>
                    <w:t>рік</w:t>
                  </w:r>
                </w:p>
              </w:tc>
            </w:tr>
            <w:tr w:rsidR="00D97782" w:rsidRPr="00913B8B" w:rsidTr="001E2558">
              <w:trPr>
                <w:trHeight w:hRule="exact" w:val="1613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97782" w:rsidRPr="00913B8B" w:rsidRDefault="00D97782" w:rsidP="00D97782">
                  <w:pPr>
                    <w:pStyle w:val="20"/>
                    <w:shd w:val="clear" w:color="auto" w:fill="auto"/>
                    <w:spacing w:line="260" w:lineRule="exact"/>
                    <w:jc w:val="left"/>
                    <w:rPr>
                      <w:sz w:val="28"/>
                      <w:szCs w:val="28"/>
                    </w:rPr>
                  </w:pPr>
                  <w:r w:rsidRPr="00913B8B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97782" w:rsidRPr="00913B8B" w:rsidRDefault="00D97782" w:rsidP="001E2558">
                  <w:pPr>
                    <w:pStyle w:val="20"/>
                    <w:shd w:val="clear" w:color="auto" w:fill="auto"/>
                    <w:spacing w:line="312" w:lineRule="exact"/>
                    <w:jc w:val="left"/>
                    <w:rPr>
                      <w:sz w:val="28"/>
                      <w:szCs w:val="28"/>
                    </w:rPr>
                  </w:pPr>
                  <w:r w:rsidRPr="00913B8B">
                    <w:rPr>
                      <w:sz w:val="28"/>
                      <w:szCs w:val="28"/>
                    </w:rPr>
                    <w:t>Площа земель</w:t>
                  </w:r>
                  <w:r w:rsidR="001E2558">
                    <w:rPr>
                      <w:sz w:val="28"/>
                      <w:szCs w:val="28"/>
                    </w:rPr>
                    <w:t xml:space="preserve"> </w:t>
                  </w:r>
                  <w:r w:rsidRPr="00913B8B">
                    <w:rPr>
                      <w:sz w:val="28"/>
                      <w:szCs w:val="28"/>
                    </w:rPr>
                    <w:t>природно-заповідного</w:t>
                  </w:r>
                  <w:r w:rsidR="001E2558">
                    <w:rPr>
                      <w:sz w:val="28"/>
                      <w:szCs w:val="28"/>
                    </w:rPr>
                    <w:t xml:space="preserve"> </w:t>
                  </w:r>
                  <w:r w:rsidRPr="00913B8B">
                    <w:rPr>
                      <w:sz w:val="28"/>
                      <w:szCs w:val="28"/>
                    </w:rPr>
                    <w:t>фонду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97782" w:rsidRPr="00913B8B" w:rsidRDefault="00D97782" w:rsidP="001E2558">
                  <w:pPr>
                    <w:pStyle w:val="20"/>
                    <w:shd w:val="clear" w:color="auto" w:fill="auto"/>
                    <w:spacing w:line="260" w:lineRule="exact"/>
                    <w:jc w:val="left"/>
                    <w:rPr>
                      <w:sz w:val="28"/>
                      <w:szCs w:val="28"/>
                    </w:rPr>
                  </w:pPr>
                  <w:r w:rsidRPr="00913B8B">
                    <w:rPr>
                      <w:sz w:val="28"/>
                      <w:szCs w:val="28"/>
                    </w:rPr>
                    <w:t>тис.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97782" w:rsidRPr="00913B8B" w:rsidRDefault="00D97782" w:rsidP="00D97782">
                  <w:pPr>
                    <w:pStyle w:val="20"/>
                    <w:shd w:val="clear" w:color="auto" w:fill="auto"/>
                    <w:spacing w:line="260" w:lineRule="exact"/>
                    <w:jc w:val="left"/>
                    <w:rPr>
                      <w:sz w:val="28"/>
                      <w:szCs w:val="28"/>
                    </w:rPr>
                  </w:pPr>
                  <w:r w:rsidRPr="00913B8B">
                    <w:rPr>
                      <w:sz w:val="28"/>
                      <w:szCs w:val="28"/>
                    </w:rPr>
                    <w:t>га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97782" w:rsidRPr="00913B8B" w:rsidRDefault="00D97782" w:rsidP="001E2558">
                  <w:pPr>
                    <w:pStyle w:val="20"/>
                    <w:shd w:val="clear" w:color="auto" w:fill="auto"/>
                    <w:spacing w:line="260" w:lineRule="exact"/>
                    <w:jc w:val="left"/>
                    <w:rPr>
                      <w:sz w:val="28"/>
                      <w:szCs w:val="28"/>
                    </w:rPr>
                  </w:pPr>
                  <w:r w:rsidRPr="00913B8B">
                    <w:rPr>
                      <w:sz w:val="28"/>
                      <w:szCs w:val="28"/>
                    </w:rPr>
                    <w:t>17,5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97782" w:rsidRPr="00913B8B" w:rsidRDefault="00D97782" w:rsidP="00D97782">
                  <w:pPr>
                    <w:pStyle w:val="20"/>
                    <w:shd w:val="clear" w:color="auto" w:fill="auto"/>
                    <w:spacing w:line="260" w:lineRule="exact"/>
                    <w:jc w:val="center"/>
                    <w:rPr>
                      <w:sz w:val="28"/>
                      <w:szCs w:val="28"/>
                    </w:rPr>
                  </w:pPr>
                  <w:r w:rsidRPr="00913B8B"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97782" w:rsidRPr="00913B8B" w:rsidRDefault="00D97782" w:rsidP="00D97782">
                  <w:pPr>
                    <w:pStyle w:val="20"/>
                    <w:shd w:val="clear" w:color="auto" w:fill="auto"/>
                    <w:spacing w:line="260" w:lineRule="exact"/>
                    <w:jc w:val="center"/>
                    <w:rPr>
                      <w:sz w:val="28"/>
                      <w:szCs w:val="28"/>
                    </w:rPr>
                  </w:pPr>
                  <w:r w:rsidRPr="00913B8B"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97782" w:rsidRPr="00913B8B" w:rsidRDefault="00D97782" w:rsidP="00D9778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97782" w:rsidRPr="00913B8B" w:rsidRDefault="00D97782" w:rsidP="00D97782">
                  <w:pPr>
                    <w:pStyle w:val="20"/>
                    <w:shd w:val="clear" w:color="auto" w:fill="auto"/>
                    <w:spacing w:line="260" w:lineRule="exact"/>
                    <w:jc w:val="left"/>
                    <w:rPr>
                      <w:sz w:val="28"/>
                      <w:szCs w:val="28"/>
                    </w:rPr>
                  </w:pPr>
                  <w:r w:rsidRPr="00913B8B">
                    <w:rPr>
                      <w:sz w:val="28"/>
                      <w:szCs w:val="28"/>
                    </w:rPr>
                    <w:t>20</w:t>
                  </w:r>
                </w:p>
              </w:tc>
            </w:tr>
          </w:tbl>
          <w:p w:rsidR="00D97782" w:rsidRPr="00157059" w:rsidRDefault="00D97782" w:rsidP="00D97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97782" w:rsidRPr="00A87474" w:rsidRDefault="0003311D" w:rsidP="00D9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враховано</w:t>
            </w:r>
          </w:p>
        </w:tc>
        <w:tc>
          <w:tcPr>
            <w:tcW w:w="3683" w:type="dxa"/>
          </w:tcPr>
          <w:p w:rsidR="00D97782" w:rsidRDefault="0003311D" w:rsidP="00D9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Зауваження буде враховане в наступних змінах до Програми</w:t>
            </w:r>
          </w:p>
        </w:tc>
      </w:tr>
      <w:tr w:rsidR="00D97782" w:rsidTr="00AE3D7B">
        <w:tc>
          <w:tcPr>
            <w:tcW w:w="710" w:type="dxa"/>
          </w:tcPr>
          <w:p w:rsidR="00D97782" w:rsidRDefault="00D97782" w:rsidP="00D9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1702" w:type="dxa"/>
          </w:tcPr>
          <w:p w:rsidR="00D97782" w:rsidRPr="00E717F8" w:rsidRDefault="00D97782" w:rsidP="00D97782">
            <w:r w:rsidRPr="00E717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---</w:t>
            </w:r>
            <w:r w:rsidRPr="00E717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717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»---</w:t>
            </w:r>
          </w:p>
        </w:tc>
        <w:tc>
          <w:tcPr>
            <w:tcW w:w="1701" w:type="dxa"/>
          </w:tcPr>
          <w:p w:rsidR="00D97782" w:rsidRPr="00E717F8" w:rsidRDefault="00D97782" w:rsidP="00D9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7F8">
              <w:rPr>
                <w:rFonts w:ascii="Times New Roman" w:hAnsi="Times New Roman" w:cs="Times New Roman"/>
                <w:sz w:val="28"/>
                <w:szCs w:val="28"/>
              </w:rPr>
              <w:t xml:space="preserve">Захід </w:t>
            </w:r>
            <w:r w:rsidRPr="00E717F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«Будівництво пожежного депо і двох лісових кордонів Дарницького лісопаркового </w:t>
            </w:r>
            <w:r w:rsidRPr="00E717F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lastRenderedPageBreak/>
              <w:t>господарства та пожежного депо і будівлі виробничо-службового призначення Святошинського лісопаркового господарства»</w:t>
            </w:r>
          </w:p>
        </w:tc>
        <w:tc>
          <w:tcPr>
            <w:tcW w:w="6237" w:type="dxa"/>
          </w:tcPr>
          <w:p w:rsidR="00D97782" w:rsidRPr="00E717F8" w:rsidRDefault="00D97782" w:rsidP="00D97782">
            <w:pPr>
              <w:pStyle w:val="20"/>
              <w:shd w:val="clear" w:color="auto" w:fill="auto"/>
              <w:tabs>
                <w:tab w:val="left" w:pos="889"/>
              </w:tabs>
              <w:rPr>
                <w:sz w:val="28"/>
                <w:szCs w:val="28"/>
              </w:rPr>
            </w:pPr>
            <w:r w:rsidRPr="00E717F8">
              <w:rPr>
                <w:sz w:val="28"/>
                <w:szCs w:val="28"/>
              </w:rPr>
              <w:lastRenderedPageBreak/>
              <w:t xml:space="preserve">         7) </w:t>
            </w:r>
            <w:r w:rsidRPr="00E717F8">
              <w:rPr>
                <w:color w:val="000000"/>
                <w:sz w:val="28"/>
                <w:szCs w:val="28"/>
                <w:lang w:eastAsia="uk-UA" w:bidi="uk-UA"/>
              </w:rPr>
              <w:t xml:space="preserve">Щодо заходу Програми за </w:t>
            </w:r>
            <w:proofErr w:type="spellStart"/>
            <w:r w:rsidRPr="00E717F8">
              <w:rPr>
                <w:color w:val="000000"/>
                <w:sz w:val="28"/>
                <w:szCs w:val="28"/>
                <w:lang w:eastAsia="uk-UA" w:bidi="uk-UA"/>
              </w:rPr>
              <w:t>пп</w:t>
            </w:r>
            <w:proofErr w:type="spellEnd"/>
            <w:r w:rsidRPr="00E717F8">
              <w:rPr>
                <w:color w:val="000000"/>
                <w:sz w:val="28"/>
                <w:szCs w:val="28"/>
                <w:lang w:eastAsia="uk-UA" w:bidi="uk-UA"/>
              </w:rPr>
              <w:t xml:space="preserve">. 1.1.7 «Будівництво пожежного депо і двох лісових кордонів Дарницького лісопаркового господарства та пожежного депо і будівлі виробничо-службового призначення Святошинського лісопаркового господарства» розділу 2 «Заходи з благоустрою зеленої зони та земель водного фонду» пропонуємо урахувати питання необхідності збереження лісів (розміщення пожежних депо не за рахунок лісових земель, зокрема з урахуванням статті 48 Закону </w:t>
            </w:r>
            <w:r w:rsidRPr="00E717F8">
              <w:rPr>
                <w:color w:val="000000"/>
                <w:sz w:val="28"/>
                <w:szCs w:val="28"/>
                <w:lang w:eastAsia="uk-UA" w:bidi="uk-UA"/>
              </w:rPr>
              <w:lastRenderedPageBreak/>
              <w:t>України «Про охорону (земель» та ін.), а також дотримання статті 24 та ін. Закону України «Про регулювання містобудівної діяльності».</w:t>
            </w:r>
          </w:p>
        </w:tc>
        <w:tc>
          <w:tcPr>
            <w:tcW w:w="1560" w:type="dxa"/>
          </w:tcPr>
          <w:p w:rsidR="00D97782" w:rsidRPr="00A87474" w:rsidRDefault="00EF3C7B" w:rsidP="00D9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Враховано</w:t>
            </w:r>
          </w:p>
        </w:tc>
        <w:tc>
          <w:tcPr>
            <w:tcW w:w="3683" w:type="dxa"/>
          </w:tcPr>
          <w:p w:rsidR="009F5CB3" w:rsidRDefault="009F5CB3" w:rsidP="00AE3D7B">
            <w:pPr>
              <w:pStyle w:val="docdata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Відповідно до матеріалів лісовпорядкування КП «Дарницьке лісопаркове господарство» роботи по об’єкту «Будівництво пожежного депо і двох лісових кордонів Дарницького лісопаркового господарства» здійснюються у виділі 21 лісового кварталу № 58 та виділі 10 лісового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кварталу № 25 Дніпровського лісництва, виділі 13 лісового кварталу № 65 </w:t>
            </w:r>
            <w:proofErr w:type="spellStart"/>
            <w:r>
              <w:rPr>
                <w:color w:val="000000"/>
                <w:sz w:val="28"/>
                <w:szCs w:val="28"/>
              </w:rPr>
              <w:t>Білодібровного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лісництва, </w:t>
            </w:r>
            <w:r w:rsidRPr="00AE3D7B">
              <w:rPr>
                <w:color w:val="000000"/>
                <w:sz w:val="28"/>
                <w:szCs w:val="28"/>
              </w:rPr>
              <w:t>які відносяться до нелісових земель</w:t>
            </w:r>
            <w:r>
              <w:rPr>
                <w:color w:val="000000"/>
                <w:sz w:val="28"/>
                <w:szCs w:val="28"/>
              </w:rPr>
              <w:t xml:space="preserve"> та не вкритих лісовою рослинністю і за таксаційним описом земельних ділянок лісового фонду виділ 21 лісового кварталу № 58 Дніпровського лісництва представлений будівлями господарськими і адміністративними (рекреаційна характеристика – відкриті простори без дерев), виділ 10 лісового кварталу № 25 Дніпровського лісництва представлений декоративною галявиною (рекреаційна характеристика – відкриті простори з поодинокими деревами), виділ 13 лісового кварталу № 65 </w:t>
            </w:r>
            <w:proofErr w:type="spellStart"/>
            <w:r>
              <w:rPr>
                <w:color w:val="000000"/>
                <w:sz w:val="28"/>
                <w:szCs w:val="28"/>
              </w:rPr>
              <w:t>Білодібровного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лісництва представлений кордоном лісовим (рекреаційна </w:t>
            </w:r>
            <w:r>
              <w:rPr>
                <w:color w:val="000000"/>
                <w:sz w:val="28"/>
                <w:szCs w:val="28"/>
              </w:rPr>
              <w:lastRenderedPageBreak/>
              <w:t>характеристика – відкриті простори без дерев).</w:t>
            </w:r>
          </w:p>
          <w:p w:rsidR="009F5CB3" w:rsidRDefault="009F5CB3" w:rsidP="009F5CB3">
            <w:pPr>
              <w:pStyle w:val="a9"/>
              <w:spacing w:before="0" w:beforeAutospacing="0" w:after="0" w:afterAutospacing="0"/>
              <w:ind w:firstLine="708"/>
              <w:jc w:val="both"/>
            </w:pPr>
            <w:r>
              <w:rPr>
                <w:color w:val="000000"/>
                <w:sz w:val="28"/>
                <w:szCs w:val="28"/>
              </w:rPr>
              <w:t>В 2019-2020 роках проведені польові та камеральні роботи з чергового базового лісовпорядкування лісового фонду КП «Дарницьке лісопаркове господарство».</w:t>
            </w:r>
          </w:p>
          <w:p w:rsidR="009F5CB3" w:rsidRDefault="009F5CB3" w:rsidP="009F5CB3">
            <w:pPr>
              <w:pStyle w:val="a9"/>
              <w:spacing w:before="0" w:beforeAutospacing="0" w:after="0" w:afterAutospacing="0"/>
              <w:ind w:firstLine="708"/>
              <w:jc w:val="both"/>
            </w:pPr>
            <w:r>
              <w:rPr>
                <w:color w:val="000000"/>
                <w:sz w:val="28"/>
                <w:szCs w:val="28"/>
              </w:rPr>
              <w:t xml:space="preserve">В даний час виготовлені за результатами лісовпорядкування матеріали перебувають в завершальній стадії їх погодження та затвердження в установленому законодавством порядку.    </w:t>
            </w:r>
          </w:p>
          <w:p w:rsidR="009F5CB3" w:rsidRDefault="009F5CB3" w:rsidP="009F5CB3">
            <w:pPr>
              <w:pStyle w:val="a9"/>
              <w:spacing w:before="0" w:beforeAutospacing="0" w:after="0" w:afterAutospacing="0"/>
              <w:ind w:firstLine="708"/>
              <w:jc w:val="both"/>
            </w:pPr>
            <w:r>
              <w:rPr>
                <w:color w:val="000000"/>
                <w:sz w:val="28"/>
                <w:szCs w:val="28"/>
              </w:rPr>
              <w:t>Даними матеріалами виділ 10 лісового кварталу № 25 Дніпровського лісництва КП «Дарницьке лісопаркове господарство» віднесено до інших </w:t>
            </w:r>
            <w:proofErr w:type="spellStart"/>
            <w:r>
              <w:rPr>
                <w:color w:val="000000"/>
                <w:sz w:val="28"/>
                <w:szCs w:val="28"/>
              </w:rPr>
              <w:t>нелісопридатних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земель (рекреаційна характеристика – відкриті простори без дерев).</w:t>
            </w:r>
          </w:p>
          <w:p w:rsidR="009F5CB3" w:rsidRDefault="009F5CB3" w:rsidP="009F5CB3">
            <w:pPr>
              <w:pStyle w:val="a9"/>
              <w:spacing w:before="0" w:beforeAutospacing="0" w:after="0" w:afterAutospacing="0"/>
              <w:ind w:firstLine="708"/>
              <w:jc w:val="both"/>
            </w:pPr>
            <w:r>
              <w:rPr>
                <w:color w:val="000000"/>
                <w:sz w:val="28"/>
                <w:szCs w:val="28"/>
              </w:rPr>
              <w:t xml:space="preserve">Відповідно до матеріалів лісовпорядкування КП «Святошинське лісопаркове </w:t>
            </w:r>
            <w:r>
              <w:rPr>
                <w:color w:val="000000"/>
                <w:sz w:val="28"/>
                <w:szCs w:val="28"/>
              </w:rPr>
              <w:lastRenderedPageBreak/>
              <w:t>господарство» роботи по об’єкту «Будівництво пожежного депо і будівлі виробничо-службового призначення Святошинського лісопаркового господарства» здійснюються у виділі 2 лісового кварталу № 114 Святошинського лісництва, який відноситься до нелісових земель, представлений будівлями господарськими та адміністративними (рекреаційна характеристика – відкриті простори без дерев).</w:t>
            </w:r>
          </w:p>
          <w:p w:rsidR="009F5CB3" w:rsidRDefault="009F5CB3" w:rsidP="009F5CB3">
            <w:pPr>
              <w:pStyle w:val="a9"/>
              <w:spacing w:before="0" w:beforeAutospacing="0" w:after="0" w:afterAutospacing="0"/>
              <w:ind w:firstLine="708"/>
              <w:jc w:val="both"/>
            </w:pPr>
            <w:r>
              <w:rPr>
                <w:color w:val="000000"/>
                <w:sz w:val="28"/>
                <w:szCs w:val="28"/>
              </w:rPr>
              <w:t xml:space="preserve">Згідно із частиною першою статті 55 Земельного  кодексу  України до земель лісогосподарського призначення належать землі, вкриті лісовою рослинністю, а також не вкриті лісовою рослинністю, нелісові землі, які надані та використовуються для потреб лісового господарства. Частиною </w:t>
            </w:r>
            <w:r>
              <w:rPr>
                <w:color w:val="000000"/>
                <w:sz w:val="28"/>
                <w:szCs w:val="28"/>
              </w:rPr>
              <w:lastRenderedPageBreak/>
              <w:t>першою статті 5 Лісового кодексу України визначено,  що  до земель лісогосподарського призначення належать лісові землі, на яких розташовані лісові ділянки, та нелісові землі, зайняті сільськогосподарськими угіддями, водами й болотами, спорудами, комунікаціями, малопродуктивними землями тощо, які надані в установленому порядку та використовуються для потреб лісового господарства.</w:t>
            </w:r>
          </w:p>
          <w:p w:rsidR="009F5CB3" w:rsidRDefault="009F5CB3" w:rsidP="009F5CB3">
            <w:pPr>
              <w:pStyle w:val="a9"/>
              <w:spacing w:before="0" w:beforeAutospacing="0" w:after="0" w:afterAutospacing="0"/>
              <w:ind w:firstLine="708"/>
              <w:jc w:val="both"/>
            </w:pPr>
            <w:r>
              <w:rPr>
                <w:color w:val="000000"/>
                <w:sz w:val="28"/>
                <w:szCs w:val="28"/>
              </w:rPr>
              <w:t>Відповідно до ДСТУ 3404-96 нелісові землі – землі лісового фонду, не призначені для вирощування лісу чи не придатні для цього без спеціальних заходів.</w:t>
            </w:r>
          </w:p>
          <w:p w:rsidR="009F5CB3" w:rsidRDefault="009F5CB3" w:rsidP="009F5CB3">
            <w:pPr>
              <w:pStyle w:val="a9"/>
              <w:spacing w:before="0" w:beforeAutospacing="0" w:after="0" w:afterAutospacing="0"/>
              <w:ind w:firstLine="708"/>
              <w:jc w:val="both"/>
            </w:pPr>
            <w:r>
              <w:rPr>
                <w:color w:val="000000"/>
                <w:sz w:val="28"/>
                <w:szCs w:val="28"/>
              </w:rPr>
              <w:t xml:space="preserve">Стаття 19 Лісового кодексу України зазначає, що до прав та </w:t>
            </w:r>
            <w:proofErr w:type="spellStart"/>
            <w:r>
              <w:rPr>
                <w:color w:val="000000"/>
                <w:sz w:val="28"/>
                <w:szCs w:val="28"/>
              </w:rPr>
              <w:t>обов&amp;apos;язків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постійних лісокористувачів належить право здійснювати відповідно до законодавства </w:t>
            </w:r>
            <w:r>
              <w:rPr>
                <w:color w:val="000000"/>
                <w:sz w:val="28"/>
                <w:szCs w:val="28"/>
              </w:rPr>
              <w:lastRenderedPageBreak/>
              <w:t>будівництво доріг, спорудження жилих будинків, виробничих та інших будівель і споруд, необхідних для ведення лісового господарства.</w:t>
            </w:r>
          </w:p>
          <w:p w:rsidR="009F5CB3" w:rsidRDefault="009F5CB3" w:rsidP="009F5CB3">
            <w:pPr>
              <w:pStyle w:val="a9"/>
              <w:spacing w:before="0" w:beforeAutospacing="0" w:after="0" w:afterAutospacing="0"/>
              <w:ind w:firstLine="708"/>
              <w:jc w:val="both"/>
            </w:pPr>
            <w:r>
              <w:rPr>
                <w:color w:val="000000"/>
                <w:sz w:val="28"/>
                <w:szCs w:val="28"/>
              </w:rPr>
              <w:t>Пожежні ДЕПО, лісові кордони та будівля виробничо-службового призначення відносяться до споруд, необхідних для ведення лісового господарства.</w:t>
            </w:r>
          </w:p>
          <w:p w:rsidR="009F5CB3" w:rsidRDefault="009F5CB3" w:rsidP="009F5CB3">
            <w:pPr>
              <w:pStyle w:val="a9"/>
              <w:spacing w:before="0" w:beforeAutospacing="0" w:after="0" w:afterAutospacing="0"/>
              <w:ind w:firstLine="708"/>
              <w:jc w:val="both"/>
            </w:pPr>
            <w:r>
              <w:rPr>
                <w:color w:val="000000"/>
                <w:sz w:val="28"/>
                <w:szCs w:val="28"/>
              </w:rPr>
              <w:t>Тобто, будівництво вказаних об’єктів не призводить до знищення чи пошкодження лісової рослинності, при цьому будівництво пожежних ДЕПО здійснюється на нелісових землях.</w:t>
            </w:r>
          </w:p>
          <w:p w:rsidR="00D97782" w:rsidRDefault="00D97782" w:rsidP="00D97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782" w:rsidTr="00AE3D7B">
        <w:tc>
          <w:tcPr>
            <w:tcW w:w="710" w:type="dxa"/>
          </w:tcPr>
          <w:p w:rsidR="00D97782" w:rsidRDefault="00D97782" w:rsidP="00D9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1.14</w:t>
            </w:r>
          </w:p>
        </w:tc>
        <w:tc>
          <w:tcPr>
            <w:tcW w:w="1702" w:type="dxa"/>
          </w:tcPr>
          <w:p w:rsidR="00D97782" w:rsidRDefault="00D97782" w:rsidP="00D97782">
            <w:r w:rsidRPr="00900D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---</w:t>
            </w:r>
            <w:r w:rsidRPr="00900D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00D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»---</w:t>
            </w:r>
          </w:p>
        </w:tc>
        <w:tc>
          <w:tcPr>
            <w:tcW w:w="1701" w:type="dxa"/>
          </w:tcPr>
          <w:p w:rsidR="00D97782" w:rsidRDefault="00D97782" w:rsidP="00D9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Програма в цілому</w:t>
            </w:r>
          </w:p>
        </w:tc>
        <w:tc>
          <w:tcPr>
            <w:tcW w:w="6237" w:type="dxa"/>
          </w:tcPr>
          <w:p w:rsidR="00D97782" w:rsidRPr="00DD64A3" w:rsidRDefault="00D97782" w:rsidP="00D97782">
            <w:pPr>
              <w:pStyle w:val="20"/>
              <w:shd w:val="clear" w:color="auto" w:fill="auto"/>
              <w:tabs>
                <w:tab w:val="left" w:pos="894"/>
              </w:tabs>
              <w:ind w:firstLine="6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8) </w:t>
            </w:r>
            <w:r w:rsidRPr="00DD64A3">
              <w:rPr>
                <w:sz w:val="28"/>
                <w:szCs w:val="28"/>
              </w:rPr>
              <w:t>У Програмі та Звіті пропонуємо додатково опрацювати урахування питань щодо виконання зобов’язань та заходів у сфері охорони довкілля та сталого використання природних ресурсів, визначений відповідними планами, стратегіями, програмами та іншими документами загальнодержавного рівня, а також міжнародними угодами Стороною яких є У країна, у тому числі:</w:t>
            </w:r>
          </w:p>
          <w:p w:rsidR="00D97782" w:rsidRPr="00DD64A3" w:rsidRDefault="00D97782" w:rsidP="00D97782">
            <w:pPr>
              <w:pStyle w:val="20"/>
              <w:shd w:val="clear" w:color="auto" w:fill="auto"/>
              <w:ind w:firstLine="680"/>
              <w:rPr>
                <w:sz w:val="28"/>
                <w:szCs w:val="28"/>
              </w:rPr>
            </w:pPr>
            <w:r w:rsidRPr="00DD64A3">
              <w:rPr>
                <w:sz w:val="28"/>
                <w:szCs w:val="28"/>
              </w:rPr>
              <w:t xml:space="preserve">Національним планом дій з охорони навколишнього природного середовища на період </w:t>
            </w:r>
            <w:r w:rsidRPr="00DD64A3">
              <w:rPr>
                <w:sz w:val="28"/>
                <w:szCs w:val="28"/>
              </w:rPr>
              <w:lastRenderedPageBreak/>
              <w:t>до 2025 року, затвердженим розпорядженням Кабінету Міністрів України 21.04.2021 № 443-р;</w:t>
            </w:r>
          </w:p>
          <w:p w:rsidR="00D97782" w:rsidRPr="00DD64A3" w:rsidRDefault="00D97782" w:rsidP="00D97782">
            <w:pPr>
              <w:pStyle w:val="20"/>
              <w:shd w:val="clear" w:color="auto" w:fill="auto"/>
              <w:ind w:firstLine="680"/>
              <w:rPr>
                <w:sz w:val="28"/>
                <w:szCs w:val="28"/>
              </w:rPr>
            </w:pPr>
            <w:r w:rsidRPr="00DD64A3">
              <w:rPr>
                <w:sz w:val="28"/>
                <w:szCs w:val="28"/>
              </w:rPr>
              <w:t>Планом заходів щодо виконання Концепції реалізації державної політики у сфері зміни клімату на період до 2030 року, затвердженим розпорядженням Кабінету Міністрів України від 06.12.2017 № 932-р;</w:t>
            </w:r>
          </w:p>
          <w:p w:rsidR="00D97782" w:rsidRPr="00DD64A3" w:rsidRDefault="00D97782" w:rsidP="00D97782">
            <w:pPr>
              <w:pStyle w:val="20"/>
              <w:shd w:val="clear" w:color="auto" w:fill="auto"/>
              <w:ind w:firstLine="680"/>
              <w:rPr>
                <w:sz w:val="28"/>
                <w:szCs w:val="28"/>
              </w:rPr>
            </w:pPr>
            <w:r w:rsidRPr="00DD64A3">
              <w:rPr>
                <w:sz w:val="28"/>
                <w:szCs w:val="28"/>
              </w:rPr>
              <w:t xml:space="preserve">Національним планом дій щодо боротьби з  деградацією земель та </w:t>
            </w:r>
            <w:proofErr w:type="spellStart"/>
            <w:r w:rsidRPr="00DD64A3">
              <w:rPr>
                <w:sz w:val="28"/>
                <w:szCs w:val="28"/>
              </w:rPr>
              <w:t>опустелюванням</w:t>
            </w:r>
            <w:proofErr w:type="spellEnd"/>
            <w:r w:rsidRPr="00DD64A3">
              <w:rPr>
                <w:sz w:val="28"/>
                <w:szCs w:val="28"/>
              </w:rPr>
              <w:t>, затвердженим розпорядженням Кабінету Міністрів України від 30.03.2016 № 271-р;</w:t>
            </w:r>
          </w:p>
          <w:p w:rsidR="00D97782" w:rsidRPr="00DD64A3" w:rsidRDefault="00D97782" w:rsidP="00D97782">
            <w:pPr>
              <w:pStyle w:val="20"/>
              <w:shd w:val="clear" w:color="auto" w:fill="auto"/>
              <w:spacing w:line="240" w:lineRule="auto"/>
              <w:ind w:firstLine="680"/>
              <w:rPr>
                <w:sz w:val="28"/>
                <w:szCs w:val="28"/>
              </w:rPr>
            </w:pPr>
            <w:r w:rsidRPr="00DD64A3">
              <w:rPr>
                <w:sz w:val="28"/>
                <w:szCs w:val="28"/>
              </w:rPr>
              <w:t>Стратегією екологічної безпеки та адаптації до зміни клімату на період до 2030 року та операційним планом її реалізації у 2022-2024 роках, схваленими розпорядженням Кабінету Міністрів України від 20.10;2021 № 1363;</w:t>
            </w:r>
          </w:p>
          <w:p w:rsidR="00D97782" w:rsidRPr="00DD64A3" w:rsidRDefault="00D97782" w:rsidP="00D97782">
            <w:pPr>
              <w:pStyle w:val="20"/>
              <w:shd w:val="clear" w:color="auto" w:fill="auto"/>
              <w:spacing w:line="240" w:lineRule="auto"/>
              <w:ind w:firstLine="603"/>
              <w:rPr>
                <w:sz w:val="28"/>
                <w:szCs w:val="28"/>
              </w:rPr>
            </w:pPr>
            <w:r w:rsidRPr="00DD64A3">
              <w:rPr>
                <w:sz w:val="28"/>
                <w:szCs w:val="28"/>
              </w:rPr>
              <w:t>Державною стратегією управління лісами України до 2035 року та операційним планом її реалізації у 2022- 2024 роках, затвердженими розпорядженням Кабінету Міністрів України від 29.12.2021 № 1777-р;</w:t>
            </w:r>
          </w:p>
          <w:p w:rsidR="00D97782" w:rsidRPr="00DD64A3" w:rsidRDefault="00D97782" w:rsidP="00D97782">
            <w:pPr>
              <w:pStyle w:val="20"/>
              <w:shd w:val="clear" w:color="auto" w:fill="auto"/>
              <w:spacing w:line="240" w:lineRule="auto"/>
              <w:ind w:right="10" w:firstLine="620"/>
              <w:rPr>
                <w:sz w:val="28"/>
                <w:szCs w:val="28"/>
              </w:rPr>
            </w:pPr>
            <w:r w:rsidRPr="00DD64A3">
              <w:rPr>
                <w:sz w:val="28"/>
                <w:szCs w:val="28"/>
              </w:rPr>
              <w:t>Водною стратегією України на період до 2050 року та планом її реалізації у 2022 - 2024 роках, схваленими розпорядженням Кабінету Міністрів України від 09.12.2022 № 1134.</w:t>
            </w:r>
          </w:p>
          <w:p w:rsidR="00D97782" w:rsidRPr="00DD64A3" w:rsidRDefault="00D97782" w:rsidP="00D97782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DD64A3">
              <w:rPr>
                <w:sz w:val="28"/>
                <w:szCs w:val="28"/>
              </w:rPr>
              <w:t>Цілями Сталого Розвитку, затвердженими у 2015 році 70-ю сесіями Генеральної асамблеї ООН (резолюція від 25.09.2015 70/1) серед іншого з урахуванням Указу Президента України від 30.09.2019 № 722/2019 «Про Цілі сталого розвитку України на період до 2030 року» та розпорядження Кабінету Міністрів України від 21.08.2019 № 686-</w:t>
            </w:r>
            <w:r w:rsidRPr="00DD64A3">
              <w:rPr>
                <w:sz w:val="28"/>
                <w:szCs w:val="28"/>
              </w:rPr>
              <w:lastRenderedPageBreak/>
              <w:t>р «Питання збору даних для моніторингу реалізації цілей сталого розвитку»;</w:t>
            </w:r>
          </w:p>
          <w:p w:rsidR="00D97782" w:rsidRPr="00DD64A3" w:rsidRDefault="00D97782" w:rsidP="00D97782">
            <w:pPr>
              <w:pStyle w:val="20"/>
              <w:shd w:val="clear" w:color="auto" w:fill="auto"/>
              <w:spacing w:line="240" w:lineRule="auto"/>
              <w:ind w:firstLine="620"/>
              <w:rPr>
                <w:sz w:val="28"/>
                <w:szCs w:val="28"/>
              </w:rPr>
            </w:pPr>
            <w:r w:rsidRPr="00DD64A3">
              <w:rPr>
                <w:sz w:val="28"/>
                <w:szCs w:val="28"/>
              </w:rPr>
              <w:t>Ріо - Конвенціями та іншими міжнародними угодами природоохоронного спрямування.</w:t>
            </w:r>
          </w:p>
        </w:tc>
        <w:tc>
          <w:tcPr>
            <w:tcW w:w="1560" w:type="dxa"/>
          </w:tcPr>
          <w:p w:rsidR="00D97782" w:rsidRPr="00A87474" w:rsidRDefault="00B4028F" w:rsidP="00D9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враховано</w:t>
            </w:r>
          </w:p>
        </w:tc>
        <w:tc>
          <w:tcPr>
            <w:tcW w:w="3683" w:type="dxa"/>
          </w:tcPr>
          <w:p w:rsidR="00D97782" w:rsidRDefault="008F3EB0" w:rsidP="00AE3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Рішенням Київської міської ради від 18.05.2023 № </w:t>
            </w:r>
            <w:r w:rsidRPr="008F3EB0">
              <w:rPr>
                <w:rFonts w:ascii="Times New Roman" w:hAnsi="Times New Roman" w:cs="Times New Roman"/>
                <w:sz w:val="28"/>
                <w:szCs w:val="28"/>
              </w:rPr>
              <w:t>6334/6375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F3EB0">
              <w:rPr>
                <w:rFonts w:ascii="Times New Roman" w:hAnsi="Times New Roman" w:cs="Times New Roman"/>
                <w:sz w:val="28"/>
                <w:szCs w:val="28"/>
              </w:rPr>
              <w:t>Про зміну найменування Управління екології та природних ресурсів виконавчого органу Київської міської ради (Київської міської державної організації)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1721D">
              <w:rPr>
                <w:rFonts w:ascii="Times New Roman" w:hAnsi="Times New Roman" w:cs="Times New Roman"/>
                <w:sz w:val="28"/>
                <w:szCs w:val="28"/>
              </w:rPr>
              <w:t xml:space="preserve">передбачено </w:t>
            </w:r>
            <w:r w:rsidR="00F17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зміну найменування Управління на Департамент захисту довкілля та адаптації до зміни клімату. Відповідна трансформація дозволить розподілити посадові обов’язки працівників, врахувавши необхідність реалізацію зобов’язань </w:t>
            </w:r>
            <w:r w:rsidR="00F1721D" w:rsidRPr="00F1721D">
              <w:rPr>
                <w:rFonts w:ascii="Times New Roman" w:hAnsi="Times New Roman" w:cs="Times New Roman"/>
                <w:sz w:val="28"/>
                <w:szCs w:val="28"/>
              </w:rPr>
              <w:t>у сфері охорони довкілля та сталого використання природних ресурсів, визначений відповідними планами, стратегіями, програмами та іншими документами загальнодержавного рівня, а також міжнаро</w:t>
            </w:r>
            <w:r w:rsidR="00F1721D">
              <w:rPr>
                <w:rFonts w:ascii="Times New Roman" w:hAnsi="Times New Roman" w:cs="Times New Roman"/>
                <w:sz w:val="28"/>
                <w:szCs w:val="28"/>
              </w:rPr>
              <w:t>дними угодами Стороною яких є У</w:t>
            </w:r>
            <w:r w:rsidR="00F1721D" w:rsidRPr="00F1721D">
              <w:rPr>
                <w:rFonts w:ascii="Times New Roman" w:hAnsi="Times New Roman" w:cs="Times New Roman"/>
                <w:sz w:val="28"/>
                <w:szCs w:val="28"/>
              </w:rPr>
              <w:t>країна</w:t>
            </w:r>
            <w:r w:rsidR="00F172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7782" w:rsidRPr="00EA0E07" w:rsidTr="00AE3D7B">
        <w:tc>
          <w:tcPr>
            <w:tcW w:w="15593" w:type="dxa"/>
            <w:gridSpan w:val="6"/>
          </w:tcPr>
          <w:p w:rsidR="00D97782" w:rsidRPr="00AF126A" w:rsidRDefault="00D97782" w:rsidP="00D9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Звіту з СЕО та Проєкту ДДП в цілому</w:t>
            </w:r>
          </w:p>
        </w:tc>
      </w:tr>
      <w:tr w:rsidR="00D97782" w:rsidRPr="00EA0E07" w:rsidTr="00AE3D7B">
        <w:tc>
          <w:tcPr>
            <w:tcW w:w="710" w:type="dxa"/>
          </w:tcPr>
          <w:p w:rsidR="00D97782" w:rsidRDefault="00D97782" w:rsidP="00D9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1702" w:type="dxa"/>
          </w:tcPr>
          <w:p w:rsidR="00D97782" w:rsidRDefault="00D97782" w:rsidP="00D97782">
            <w:r w:rsidRPr="00900D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---</w:t>
            </w:r>
            <w:r w:rsidRPr="00900D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00D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»---</w:t>
            </w:r>
          </w:p>
        </w:tc>
        <w:tc>
          <w:tcPr>
            <w:tcW w:w="1701" w:type="dxa"/>
          </w:tcPr>
          <w:p w:rsidR="00D97782" w:rsidRDefault="00D97782" w:rsidP="00D9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Звіт про СЕО та Програма в цілому</w:t>
            </w:r>
          </w:p>
        </w:tc>
        <w:tc>
          <w:tcPr>
            <w:tcW w:w="6237" w:type="dxa"/>
          </w:tcPr>
          <w:p w:rsidR="00D97782" w:rsidRPr="002C6931" w:rsidRDefault="00D97782" w:rsidP="00D97782">
            <w:pPr>
              <w:pStyle w:val="20"/>
              <w:shd w:val="clear" w:color="auto" w:fill="auto"/>
              <w:spacing w:line="240" w:lineRule="auto"/>
              <w:ind w:right="10" w:firstLine="620"/>
              <w:rPr>
                <w:sz w:val="28"/>
                <w:szCs w:val="28"/>
              </w:rPr>
            </w:pPr>
            <w:r w:rsidRPr="002C6931">
              <w:rPr>
                <w:sz w:val="28"/>
                <w:szCs w:val="28"/>
              </w:rPr>
              <w:t xml:space="preserve">Також пропонуємо додатково опрацювати Програму та Звіт на предмет врахування зауважень і пропозицій </w:t>
            </w:r>
            <w:proofErr w:type="spellStart"/>
            <w:r w:rsidRPr="002C6931">
              <w:rPr>
                <w:sz w:val="28"/>
                <w:szCs w:val="28"/>
              </w:rPr>
              <w:t>Міндовкілля</w:t>
            </w:r>
            <w:proofErr w:type="spellEnd"/>
            <w:r w:rsidRPr="002C6931">
              <w:rPr>
                <w:sz w:val="28"/>
                <w:szCs w:val="28"/>
              </w:rPr>
              <w:t>, наданих листом від 20.08.2021 №25/5-21/18091-21 до проекту Комплексної міської цільової програми екологічного благополуччя міста Києва на 2022-2025 роки.</w:t>
            </w:r>
          </w:p>
          <w:p w:rsidR="00D97782" w:rsidRPr="002C6931" w:rsidRDefault="00D97782" w:rsidP="00D97782">
            <w:pPr>
              <w:ind w:righ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97782" w:rsidRPr="0003311D" w:rsidRDefault="005D0D10" w:rsidP="00D9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Враховано ча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стково</w:t>
            </w:r>
          </w:p>
        </w:tc>
        <w:tc>
          <w:tcPr>
            <w:tcW w:w="3683" w:type="dxa"/>
          </w:tcPr>
          <w:p w:rsidR="00D97782" w:rsidRPr="0003311D" w:rsidRDefault="005D0D10" w:rsidP="005D0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Врахування та п</w:t>
            </w:r>
            <w:r w:rsidR="00D97782" w:rsidRPr="0003311D">
              <w:rPr>
                <w:rFonts w:ascii="Times New Roman" w:hAnsi="Times New Roman" w:cs="Times New Roman"/>
                <w:sz w:val="28"/>
                <w:szCs w:val="28"/>
              </w:rPr>
              <w:t>ричини неврахування зазначені в Довідці про консультації з органами виконавчої влади в процесі стратегічної екологічної оцінки проєкту Комплексної програми екологічного благополуччя міста Києва на 2022 – 2025 року</w:t>
            </w:r>
          </w:p>
        </w:tc>
      </w:tr>
    </w:tbl>
    <w:p w:rsidR="0083270B" w:rsidRDefault="0083270B" w:rsidP="00FA0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70B" w:rsidRDefault="0083270B" w:rsidP="00FA0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70B" w:rsidRPr="0083270B" w:rsidRDefault="0083270B" w:rsidP="00FA0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270B" w:rsidRPr="0083270B" w:rsidSect="00C0099E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A2E89"/>
    <w:multiLevelType w:val="multilevel"/>
    <w:tmpl w:val="DB8878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394BD2"/>
    <w:multiLevelType w:val="hybridMultilevel"/>
    <w:tmpl w:val="12245656"/>
    <w:lvl w:ilvl="0" w:tplc="66E863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E80ADA"/>
    <w:multiLevelType w:val="hybridMultilevel"/>
    <w:tmpl w:val="D0328FDE"/>
    <w:lvl w:ilvl="0" w:tplc="A4D055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0B"/>
    <w:rsid w:val="0000790E"/>
    <w:rsid w:val="0003311D"/>
    <w:rsid w:val="00074BD9"/>
    <w:rsid w:val="000C0362"/>
    <w:rsid w:val="00105CF4"/>
    <w:rsid w:val="00127DE7"/>
    <w:rsid w:val="00157059"/>
    <w:rsid w:val="001862A8"/>
    <w:rsid w:val="001E2558"/>
    <w:rsid w:val="00225F70"/>
    <w:rsid w:val="002919FE"/>
    <w:rsid w:val="002C6931"/>
    <w:rsid w:val="00480E1E"/>
    <w:rsid w:val="005518AA"/>
    <w:rsid w:val="00576485"/>
    <w:rsid w:val="00592330"/>
    <w:rsid w:val="005B5E15"/>
    <w:rsid w:val="005D0D10"/>
    <w:rsid w:val="005F6706"/>
    <w:rsid w:val="007A34EE"/>
    <w:rsid w:val="007C6140"/>
    <w:rsid w:val="00805F34"/>
    <w:rsid w:val="00815BF6"/>
    <w:rsid w:val="0083270B"/>
    <w:rsid w:val="008878DF"/>
    <w:rsid w:val="008E509D"/>
    <w:rsid w:val="008F3EB0"/>
    <w:rsid w:val="00913B8B"/>
    <w:rsid w:val="00933CEA"/>
    <w:rsid w:val="00942591"/>
    <w:rsid w:val="00946AEB"/>
    <w:rsid w:val="009F5CB3"/>
    <w:rsid w:val="00A627B9"/>
    <w:rsid w:val="00A66477"/>
    <w:rsid w:val="00A87474"/>
    <w:rsid w:val="00AE3D7B"/>
    <w:rsid w:val="00AF126A"/>
    <w:rsid w:val="00B368FA"/>
    <w:rsid w:val="00B4028F"/>
    <w:rsid w:val="00C0099E"/>
    <w:rsid w:val="00C33E10"/>
    <w:rsid w:val="00CF498A"/>
    <w:rsid w:val="00D17C64"/>
    <w:rsid w:val="00D40E38"/>
    <w:rsid w:val="00D81517"/>
    <w:rsid w:val="00D835FE"/>
    <w:rsid w:val="00D97782"/>
    <w:rsid w:val="00DD64A3"/>
    <w:rsid w:val="00E07191"/>
    <w:rsid w:val="00E20A83"/>
    <w:rsid w:val="00E27B8E"/>
    <w:rsid w:val="00E717F8"/>
    <w:rsid w:val="00EA0E07"/>
    <w:rsid w:val="00EA4E6E"/>
    <w:rsid w:val="00EE3618"/>
    <w:rsid w:val="00EF3C7B"/>
    <w:rsid w:val="00F1721D"/>
    <w:rsid w:val="00FA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ECBF3-CBE4-4CEA-B125-66AB1221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6477"/>
    <w:pPr>
      <w:ind w:left="720"/>
      <w:contextualSpacing/>
    </w:pPr>
  </w:style>
  <w:style w:type="character" w:customStyle="1" w:styleId="2">
    <w:name w:val="Основний текст (2)_"/>
    <w:link w:val="20"/>
    <w:rsid w:val="008878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8878DF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Підпис до таблиці_"/>
    <w:link w:val="a6"/>
    <w:rsid w:val="00913B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6">
    <w:name w:val="Підпис до таблиці"/>
    <w:basedOn w:val="a"/>
    <w:link w:val="a5"/>
    <w:rsid w:val="00913B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42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2591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10215,baiaagaaboqcaaad7suaaax7jqaaaaaaaaaaaaaaaaaaaaaaaaaaaaaaaaaaaaaaaaaaaaaaaaaaaaaaaaaaaaaaaaaaaaaaaaaaaaaaaaaaaaaaaaaaaaaaaaaaaaaaaaaaaaaaaaaaaaaaaaaaaaaaaaaaaaaaaaaaaaaaaaaaaaaaaaaaaaaaaaaaaaaaaaaaaaaaaaaaaaaaaaaaaaaaaaaaaaaaaaaaaaa"/>
    <w:basedOn w:val="a"/>
    <w:rsid w:val="009F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Normal (Web)"/>
    <w:basedOn w:val="a"/>
    <w:uiPriority w:val="99"/>
    <w:semiHidden/>
    <w:unhideWhenUsed/>
    <w:rsid w:val="009F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9D852-AB31-411B-BB04-CD064807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19</Pages>
  <Words>15940</Words>
  <Characters>9086</Characters>
  <Application>Microsoft Office Word</Application>
  <DocSecurity>0</DocSecurity>
  <Lines>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2023-07-18T10:35:00Z</cp:lastPrinted>
  <dcterms:created xsi:type="dcterms:W3CDTF">2023-06-23T12:27:00Z</dcterms:created>
  <dcterms:modified xsi:type="dcterms:W3CDTF">2023-07-18T10:38:00Z</dcterms:modified>
</cp:coreProperties>
</file>